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048" w:rsidRDefault="00BB7048" w:rsidP="00BB7048">
      <w:pPr>
        <w:rPr>
          <w:sz w:val="24"/>
          <w:szCs w:val="24"/>
        </w:rPr>
      </w:pPr>
      <w:r>
        <w:rPr>
          <w:b/>
          <w:noProof/>
          <w:sz w:val="32"/>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801368" cy="896112"/>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2012.jpg"/>
                    <pic:cNvPicPr/>
                  </pic:nvPicPr>
                  <pic:blipFill>
                    <a:blip r:embed="rId5">
                      <a:extLst>
                        <a:ext uri="{28A0092B-C50C-407E-A947-70E740481C1C}">
                          <a14:useLocalDpi xmlns:a14="http://schemas.microsoft.com/office/drawing/2010/main" val="0"/>
                        </a:ext>
                      </a:extLst>
                    </a:blip>
                    <a:stretch>
                      <a:fillRect/>
                    </a:stretch>
                  </pic:blipFill>
                  <pic:spPr>
                    <a:xfrm>
                      <a:off x="0" y="0"/>
                      <a:ext cx="1801368" cy="896112"/>
                    </a:xfrm>
                    <a:prstGeom prst="rect">
                      <a:avLst/>
                    </a:prstGeom>
                  </pic:spPr>
                </pic:pic>
              </a:graphicData>
            </a:graphic>
            <wp14:sizeRelH relativeFrom="margin">
              <wp14:pctWidth>0</wp14:pctWidth>
            </wp14:sizeRelH>
            <wp14:sizeRelV relativeFrom="margin">
              <wp14:pctHeight>0</wp14:pctHeight>
            </wp14:sizeRelV>
          </wp:anchor>
        </w:drawing>
      </w:r>
      <w:r w:rsidRPr="00BB7048">
        <w:rPr>
          <w:b/>
          <w:sz w:val="32"/>
          <w:szCs w:val="24"/>
        </w:rPr>
        <w:t xml:space="preserve"> </w:t>
      </w:r>
      <w:r w:rsidR="00835513" w:rsidRPr="00BB7048">
        <w:rPr>
          <w:b/>
          <w:sz w:val="32"/>
          <w:szCs w:val="24"/>
        </w:rPr>
        <w:br/>
      </w:r>
      <w:bookmarkStart w:id="0" w:name="_GoBack"/>
      <w:bookmarkEnd w:id="0"/>
      <w:r w:rsidRPr="00BB7048">
        <w:rPr>
          <w:sz w:val="32"/>
          <w:szCs w:val="24"/>
        </w:rPr>
        <w:br/>
      </w:r>
    </w:p>
    <w:p w:rsidR="00301AB6" w:rsidRPr="00F11852" w:rsidRDefault="00BB7048" w:rsidP="00301AB6">
      <w:pPr>
        <w:rPr>
          <w:rFonts w:cstheme="minorHAnsi"/>
          <w:b/>
          <w:sz w:val="32"/>
          <w:szCs w:val="32"/>
        </w:rPr>
      </w:pPr>
      <w:r w:rsidRPr="00F11852">
        <w:rPr>
          <w:rFonts w:cstheme="minorHAnsi"/>
          <w:b/>
          <w:sz w:val="32"/>
          <w:szCs w:val="32"/>
        </w:rPr>
        <w:t>Agronomy Journal</w:t>
      </w:r>
      <w:r w:rsidRPr="00F11852">
        <w:rPr>
          <w:rFonts w:cstheme="minorHAnsi"/>
          <w:b/>
          <w:sz w:val="32"/>
          <w:szCs w:val="32"/>
        </w:rPr>
        <w:br/>
        <w:t>Annual Report</w:t>
      </w:r>
      <w:r w:rsidR="00F11852" w:rsidRPr="00F11852">
        <w:rPr>
          <w:rFonts w:cstheme="minorHAnsi"/>
          <w:b/>
          <w:sz w:val="32"/>
          <w:szCs w:val="32"/>
        </w:rPr>
        <w:br/>
      </w:r>
      <w:r w:rsidR="00301AB6" w:rsidRPr="00F11852">
        <w:rPr>
          <w:rFonts w:cstheme="minorHAnsi"/>
          <w:b/>
          <w:sz w:val="32"/>
          <w:szCs w:val="32"/>
        </w:rPr>
        <w:br/>
        <w:t xml:space="preserve">Editorial Board Meeting, </w:t>
      </w:r>
      <w:r w:rsidRPr="00F11852">
        <w:rPr>
          <w:rFonts w:cstheme="minorHAnsi"/>
          <w:b/>
          <w:sz w:val="32"/>
          <w:szCs w:val="32"/>
        </w:rPr>
        <w:t>October</w:t>
      </w:r>
      <w:r w:rsidR="00301AB6" w:rsidRPr="00F11852">
        <w:rPr>
          <w:rFonts w:cstheme="minorHAnsi"/>
          <w:b/>
          <w:sz w:val="32"/>
          <w:szCs w:val="32"/>
        </w:rPr>
        <w:t xml:space="preserve"> 23</w:t>
      </w:r>
      <w:r w:rsidRPr="00F11852">
        <w:rPr>
          <w:rFonts w:cstheme="minorHAnsi"/>
          <w:b/>
          <w:sz w:val="32"/>
          <w:szCs w:val="32"/>
        </w:rPr>
        <w:t xml:space="preserve">, </w:t>
      </w:r>
      <w:r w:rsidR="00301AB6" w:rsidRPr="00F11852">
        <w:rPr>
          <w:rFonts w:cstheme="minorHAnsi"/>
          <w:b/>
          <w:sz w:val="32"/>
          <w:szCs w:val="32"/>
        </w:rPr>
        <w:t>3-5 pm</w:t>
      </w:r>
      <w:r w:rsidR="00301AB6" w:rsidRPr="00F11852">
        <w:rPr>
          <w:rFonts w:cstheme="minorHAnsi"/>
          <w:b/>
          <w:sz w:val="32"/>
          <w:szCs w:val="32"/>
        </w:rPr>
        <w:br/>
        <w:t>Millennium Hotel, Colonnade B, Second Floor</w:t>
      </w:r>
    </w:p>
    <w:p w:rsidR="00BB7048" w:rsidRDefault="00BB7048" w:rsidP="00301AB6">
      <w:pPr>
        <w:rPr>
          <w:sz w:val="24"/>
          <w:szCs w:val="24"/>
        </w:rPr>
      </w:pPr>
    </w:p>
    <w:p w:rsidR="00835513" w:rsidRPr="00694DA8" w:rsidRDefault="00835513" w:rsidP="00BB7048">
      <w:pPr>
        <w:rPr>
          <w:rFonts w:ascii="Arial" w:hAnsi="Arial" w:cs="Arial"/>
          <w:sz w:val="24"/>
          <w:szCs w:val="24"/>
        </w:rPr>
      </w:pPr>
      <w:r w:rsidRPr="00694DA8">
        <w:rPr>
          <w:rFonts w:ascii="Arial" w:hAnsi="Arial" w:cs="Arial"/>
          <w:sz w:val="24"/>
          <w:szCs w:val="24"/>
        </w:rPr>
        <w:t xml:space="preserve">From January 1, 2012 to October </w:t>
      </w:r>
      <w:r w:rsidR="000D07CE">
        <w:rPr>
          <w:rFonts w:ascii="Arial" w:hAnsi="Arial" w:cs="Arial"/>
          <w:sz w:val="24"/>
          <w:szCs w:val="24"/>
        </w:rPr>
        <w:t>5</w:t>
      </w:r>
      <w:r w:rsidRPr="00694DA8">
        <w:rPr>
          <w:rFonts w:ascii="Arial" w:hAnsi="Arial" w:cs="Arial"/>
          <w:sz w:val="24"/>
          <w:szCs w:val="24"/>
        </w:rPr>
        <w:t>, 2012, 3</w:t>
      </w:r>
      <w:r w:rsidR="000D07CE">
        <w:rPr>
          <w:rFonts w:ascii="Arial" w:hAnsi="Arial" w:cs="Arial"/>
          <w:sz w:val="24"/>
          <w:szCs w:val="24"/>
        </w:rPr>
        <w:t>64</w:t>
      </w:r>
      <w:r w:rsidRPr="00694DA8">
        <w:rPr>
          <w:rFonts w:ascii="Arial" w:hAnsi="Arial" w:cs="Arial"/>
          <w:sz w:val="24"/>
          <w:szCs w:val="24"/>
        </w:rPr>
        <w:t xml:space="preserve"> manuscripts were submitted for possible publication in Agronomy Journal.  Of these, 3</w:t>
      </w:r>
      <w:r w:rsidR="000D07CE">
        <w:rPr>
          <w:rFonts w:ascii="Arial" w:hAnsi="Arial" w:cs="Arial"/>
          <w:sz w:val="24"/>
          <w:szCs w:val="24"/>
        </w:rPr>
        <w:t>4</w:t>
      </w:r>
      <w:r w:rsidRPr="00694DA8">
        <w:rPr>
          <w:rFonts w:ascii="Arial" w:hAnsi="Arial" w:cs="Arial"/>
          <w:sz w:val="24"/>
          <w:szCs w:val="24"/>
        </w:rPr>
        <w:t xml:space="preserve"> (</w:t>
      </w:r>
      <w:r w:rsidR="000D07CE">
        <w:rPr>
          <w:rFonts w:ascii="Arial" w:hAnsi="Arial" w:cs="Arial"/>
          <w:sz w:val="24"/>
          <w:szCs w:val="24"/>
        </w:rPr>
        <w:t>9</w:t>
      </w:r>
      <w:r w:rsidRPr="00694DA8">
        <w:rPr>
          <w:rFonts w:ascii="Arial" w:hAnsi="Arial" w:cs="Arial"/>
          <w:sz w:val="24"/>
          <w:szCs w:val="24"/>
        </w:rPr>
        <w:t>%) were rejected outright and not reviewed.  Our acceptance rate for 2012 is 47.06%</w:t>
      </w:r>
      <w:r w:rsidR="003420A9" w:rsidRPr="00694DA8">
        <w:rPr>
          <w:rFonts w:ascii="Arial" w:hAnsi="Arial" w:cs="Arial"/>
          <w:sz w:val="24"/>
          <w:szCs w:val="24"/>
        </w:rPr>
        <w:t xml:space="preserve">.  Based on </w:t>
      </w:r>
      <w:r w:rsidR="00F915FE">
        <w:rPr>
          <w:rFonts w:ascii="Arial" w:hAnsi="Arial" w:cs="Arial"/>
          <w:sz w:val="24"/>
          <w:szCs w:val="24"/>
        </w:rPr>
        <w:t xml:space="preserve">the first nine months, we </w:t>
      </w:r>
      <w:r w:rsidR="003420A9" w:rsidRPr="00694DA8">
        <w:rPr>
          <w:rFonts w:ascii="Arial" w:hAnsi="Arial" w:cs="Arial"/>
          <w:sz w:val="24"/>
          <w:szCs w:val="24"/>
        </w:rPr>
        <w:t>expect to have over 4</w:t>
      </w:r>
      <w:r w:rsidR="000D07CE">
        <w:rPr>
          <w:rFonts w:ascii="Arial" w:hAnsi="Arial" w:cs="Arial"/>
          <w:sz w:val="24"/>
          <w:szCs w:val="24"/>
        </w:rPr>
        <w:t>8</w:t>
      </w:r>
      <w:r w:rsidR="00F915FE">
        <w:rPr>
          <w:rFonts w:ascii="Arial" w:hAnsi="Arial" w:cs="Arial"/>
          <w:sz w:val="24"/>
          <w:szCs w:val="24"/>
        </w:rPr>
        <w:t>0</w:t>
      </w:r>
      <w:r w:rsidR="003420A9" w:rsidRPr="00694DA8">
        <w:rPr>
          <w:rFonts w:ascii="Arial" w:hAnsi="Arial" w:cs="Arial"/>
          <w:sz w:val="24"/>
          <w:szCs w:val="24"/>
        </w:rPr>
        <w:t xml:space="preserve"> submissions by the end of the year.</w:t>
      </w:r>
    </w:p>
    <w:p w:rsidR="00835513" w:rsidRPr="00694DA8" w:rsidRDefault="00835513" w:rsidP="00835513">
      <w:pPr>
        <w:rPr>
          <w:rFonts w:ascii="Arial" w:hAnsi="Arial" w:cs="Arial"/>
          <w:sz w:val="24"/>
          <w:szCs w:val="24"/>
        </w:rPr>
      </w:pPr>
      <w:r w:rsidRPr="00694DA8">
        <w:rPr>
          <w:rFonts w:ascii="Arial" w:hAnsi="Arial" w:cs="Arial"/>
          <w:sz w:val="24"/>
          <w:szCs w:val="24"/>
        </w:rPr>
        <w:t xml:space="preserve">At present we have 26 SAE’s and 94 AE’s.  We have 2 SAE’s that will retire this year, and we hope to fill both posts this coming year.  </w:t>
      </w:r>
    </w:p>
    <w:p w:rsidR="00835513" w:rsidRPr="00694DA8" w:rsidRDefault="00835513" w:rsidP="00835513">
      <w:pPr>
        <w:rPr>
          <w:rFonts w:ascii="Arial" w:hAnsi="Arial" w:cs="Arial"/>
          <w:sz w:val="24"/>
          <w:szCs w:val="24"/>
        </w:rPr>
      </w:pPr>
      <w:r w:rsidRPr="00694DA8">
        <w:rPr>
          <w:rFonts w:ascii="Arial" w:hAnsi="Arial" w:cs="Arial"/>
          <w:sz w:val="24"/>
          <w:szCs w:val="24"/>
        </w:rPr>
        <w:t>The average number of papers that our SAE’s have handled thus far in 2012 is 12</w:t>
      </w:r>
      <w:r w:rsidR="000D07CE">
        <w:rPr>
          <w:rFonts w:ascii="Arial" w:hAnsi="Arial" w:cs="Arial"/>
          <w:sz w:val="24"/>
          <w:szCs w:val="24"/>
        </w:rPr>
        <w:t>.2</w:t>
      </w:r>
      <w:r w:rsidRPr="00694DA8">
        <w:rPr>
          <w:rFonts w:ascii="Arial" w:hAnsi="Arial" w:cs="Arial"/>
          <w:sz w:val="24"/>
          <w:szCs w:val="24"/>
        </w:rPr>
        <w:t xml:space="preserve">.  The range has been 4 to 16.  We have had an increase in submissions in crop science/genetics and where an added SAE could be beneficial. </w:t>
      </w:r>
    </w:p>
    <w:p w:rsidR="001C6149" w:rsidRDefault="00694DA8" w:rsidP="00835513">
      <w:pPr>
        <w:rPr>
          <w:rFonts w:ascii="Arial" w:hAnsi="Arial" w:cs="Arial"/>
          <w:sz w:val="24"/>
          <w:szCs w:val="24"/>
        </w:rPr>
      </w:pPr>
      <w:r>
        <w:rPr>
          <w:rFonts w:ascii="Arial" w:hAnsi="Arial" w:cs="Arial"/>
          <w:sz w:val="24"/>
          <w:szCs w:val="24"/>
        </w:rPr>
        <w:t xml:space="preserve">Results for manuscript </w:t>
      </w:r>
      <w:r w:rsidR="006C624B" w:rsidRPr="00694DA8">
        <w:rPr>
          <w:rFonts w:ascii="Arial" w:hAnsi="Arial" w:cs="Arial"/>
          <w:sz w:val="24"/>
          <w:szCs w:val="24"/>
        </w:rPr>
        <w:t>submissions</w:t>
      </w:r>
      <w:r>
        <w:rPr>
          <w:rFonts w:ascii="Arial" w:hAnsi="Arial" w:cs="Arial"/>
          <w:sz w:val="24"/>
          <w:szCs w:val="24"/>
        </w:rPr>
        <w:t xml:space="preserve"> over</w:t>
      </w:r>
      <w:r w:rsidR="006C624B" w:rsidRPr="00694DA8">
        <w:rPr>
          <w:rFonts w:ascii="Arial" w:hAnsi="Arial" w:cs="Arial"/>
          <w:sz w:val="24"/>
          <w:szCs w:val="24"/>
        </w:rPr>
        <w:t xml:space="preserve"> the past 12 months</w:t>
      </w:r>
      <w:r w:rsidR="003420A9" w:rsidRPr="00694DA8">
        <w:rPr>
          <w:rFonts w:ascii="Arial" w:hAnsi="Arial" w:cs="Arial"/>
          <w:sz w:val="24"/>
          <w:szCs w:val="24"/>
        </w:rPr>
        <w:t xml:space="preserve"> are included </w:t>
      </w:r>
      <w:r>
        <w:rPr>
          <w:rFonts w:ascii="Arial" w:hAnsi="Arial" w:cs="Arial"/>
          <w:sz w:val="24"/>
          <w:szCs w:val="24"/>
        </w:rPr>
        <w:t xml:space="preserve">in Table 1.  </w:t>
      </w:r>
      <w:r w:rsidR="0064200E" w:rsidRPr="00694DA8">
        <w:rPr>
          <w:rFonts w:ascii="Arial" w:hAnsi="Arial" w:cs="Arial"/>
          <w:sz w:val="24"/>
          <w:szCs w:val="24"/>
        </w:rPr>
        <w:t>Also included are some basic graphs showing manuscript submissions, acceptance rates, and impact factor from 2002 to 2011</w:t>
      </w:r>
      <w:r>
        <w:rPr>
          <w:rFonts w:ascii="Arial" w:hAnsi="Arial" w:cs="Arial"/>
          <w:sz w:val="24"/>
          <w:szCs w:val="24"/>
        </w:rPr>
        <w:t xml:space="preserve"> (Figures 1 and 2)</w:t>
      </w:r>
      <w:r w:rsidR="0064200E" w:rsidRPr="00694DA8">
        <w:rPr>
          <w:rFonts w:ascii="Arial" w:hAnsi="Arial" w:cs="Arial"/>
          <w:sz w:val="24"/>
          <w:szCs w:val="24"/>
        </w:rPr>
        <w:t xml:space="preserve">.  </w:t>
      </w:r>
      <w:r w:rsidR="00496013" w:rsidRPr="00694DA8">
        <w:rPr>
          <w:rFonts w:ascii="Arial" w:hAnsi="Arial" w:cs="Arial"/>
          <w:sz w:val="24"/>
          <w:szCs w:val="24"/>
        </w:rPr>
        <w:t xml:space="preserve">Our acceptance ratio continues to be right around 50 </w:t>
      </w:r>
      <w:r w:rsidR="00301AB6">
        <w:rPr>
          <w:rFonts w:ascii="Arial" w:hAnsi="Arial" w:cs="Arial"/>
          <w:sz w:val="24"/>
          <w:szCs w:val="24"/>
        </w:rPr>
        <w:t xml:space="preserve">percent </w:t>
      </w:r>
      <w:r w:rsidR="00496013" w:rsidRPr="00694DA8">
        <w:rPr>
          <w:rFonts w:ascii="Arial" w:hAnsi="Arial" w:cs="Arial"/>
          <w:sz w:val="24"/>
          <w:szCs w:val="24"/>
        </w:rPr>
        <w:t xml:space="preserve">over this time period, with submissions increasing slightly.  Impact factor numbers have also increased, and these values will be discussed at our </w:t>
      </w:r>
      <w:r w:rsidR="00301AB6">
        <w:rPr>
          <w:rFonts w:ascii="Arial" w:hAnsi="Arial" w:cs="Arial"/>
          <w:sz w:val="24"/>
          <w:szCs w:val="24"/>
        </w:rPr>
        <w:t>e</w:t>
      </w:r>
      <w:r w:rsidR="00496013" w:rsidRPr="00694DA8">
        <w:rPr>
          <w:rFonts w:ascii="Arial" w:hAnsi="Arial" w:cs="Arial"/>
          <w:sz w:val="24"/>
          <w:szCs w:val="24"/>
        </w:rPr>
        <w:t xml:space="preserve">ditorial </w:t>
      </w:r>
      <w:r w:rsidR="00301AB6">
        <w:rPr>
          <w:rFonts w:ascii="Arial" w:hAnsi="Arial" w:cs="Arial"/>
          <w:sz w:val="24"/>
          <w:szCs w:val="24"/>
        </w:rPr>
        <w:t>s</w:t>
      </w:r>
      <w:r w:rsidR="00496013" w:rsidRPr="00694DA8">
        <w:rPr>
          <w:rFonts w:ascii="Arial" w:hAnsi="Arial" w:cs="Arial"/>
          <w:sz w:val="24"/>
          <w:szCs w:val="24"/>
        </w:rPr>
        <w:t xml:space="preserve">taff </w:t>
      </w:r>
      <w:r w:rsidR="00301AB6">
        <w:rPr>
          <w:rFonts w:ascii="Arial" w:hAnsi="Arial" w:cs="Arial"/>
          <w:sz w:val="24"/>
          <w:szCs w:val="24"/>
        </w:rPr>
        <w:t>m</w:t>
      </w:r>
      <w:r w:rsidR="00496013" w:rsidRPr="00694DA8">
        <w:rPr>
          <w:rFonts w:ascii="Arial" w:hAnsi="Arial" w:cs="Arial"/>
          <w:sz w:val="24"/>
          <w:szCs w:val="24"/>
        </w:rPr>
        <w:t xml:space="preserve">eeting.  </w:t>
      </w:r>
      <w:r w:rsidR="00301AB6">
        <w:rPr>
          <w:rFonts w:ascii="Arial" w:hAnsi="Arial" w:cs="Arial"/>
          <w:sz w:val="24"/>
          <w:szCs w:val="24"/>
        </w:rPr>
        <w:t>How impact factors are computed, and what they mean will</w:t>
      </w:r>
      <w:r w:rsidR="00F11852">
        <w:rPr>
          <w:rFonts w:ascii="Arial" w:hAnsi="Arial" w:cs="Arial"/>
          <w:sz w:val="24"/>
          <w:szCs w:val="24"/>
        </w:rPr>
        <w:t xml:space="preserve"> also</w:t>
      </w:r>
      <w:r w:rsidR="00301AB6">
        <w:rPr>
          <w:rFonts w:ascii="Arial" w:hAnsi="Arial" w:cs="Arial"/>
          <w:sz w:val="24"/>
          <w:szCs w:val="24"/>
        </w:rPr>
        <w:t xml:space="preserve"> be addressed.</w:t>
      </w:r>
      <w:r w:rsidR="00F915FE">
        <w:rPr>
          <w:rFonts w:ascii="Arial" w:hAnsi="Arial" w:cs="Arial"/>
          <w:sz w:val="24"/>
          <w:szCs w:val="24"/>
        </w:rPr>
        <w:t xml:space="preserve"> Review times have been consistently lowered as electronic submissions have become commonplace and the software used to handle scientific papers has improved.  </w:t>
      </w:r>
      <w:r w:rsidR="0064106E">
        <w:rPr>
          <w:rFonts w:ascii="Arial" w:hAnsi="Arial" w:cs="Arial"/>
          <w:sz w:val="24"/>
          <w:szCs w:val="24"/>
        </w:rPr>
        <w:t>Nonetheless, we should work to decrease review times as this can only help.</w:t>
      </w:r>
    </w:p>
    <w:p w:rsidR="0064106E" w:rsidRDefault="0064106E" w:rsidP="00835513">
      <w:pPr>
        <w:rPr>
          <w:rFonts w:ascii="Arial" w:hAnsi="Arial" w:cs="Arial"/>
          <w:sz w:val="24"/>
          <w:szCs w:val="24"/>
        </w:rPr>
      </w:pPr>
      <w:r>
        <w:rPr>
          <w:rFonts w:ascii="Arial" w:hAnsi="Arial" w:cs="Arial"/>
          <w:sz w:val="24"/>
          <w:szCs w:val="24"/>
        </w:rPr>
        <w:t xml:space="preserve">Many thanks are extended to all our Senior Associate Editors and Associate Editors, and to the entire team at ASA Headquarters in Madison. </w:t>
      </w:r>
    </w:p>
    <w:p w:rsidR="0064106E" w:rsidRPr="00694DA8" w:rsidRDefault="0064106E" w:rsidP="00835513">
      <w:pPr>
        <w:rPr>
          <w:rFonts w:ascii="Arial" w:hAnsi="Arial" w:cs="Arial"/>
          <w:sz w:val="24"/>
          <w:szCs w:val="24"/>
        </w:rPr>
      </w:pPr>
    </w:p>
    <w:p w:rsidR="001C6149" w:rsidRPr="00694DA8" w:rsidRDefault="00BB7048" w:rsidP="00835513">
      <w:pPr>
        <w:rPr>
          <w:rFonts w:ascii="Arial" w:hAnsi="Arial" w:cs="Arial"/>
          <w:b/>
          <w:sz w:val="20"/>
          <w:szCs w:val="24"/>
        </w:rPr>
      </w:pPr>
      <w:proofErr w:type="gramStart"/>
      <w:r w:rsidRPr="00694DA8">
        <w:rPr>
          <w:rFonts w:ascii="Arial" w:hAnsi="Arial" w:cs="Arial"/>
          <w:b/>
          <w:sz w:val="20"/>
          <w:szCs w:val="24"/>
        </w:rPr>
        <w:lastRenderedPageBreak/>
        <w:t>Table 1.</w:t>
      </w:r>
      <w:proofErr w:type="gramEnd"/>
      <w:r w:rsidRPr="00694DA8">
        <w:rPr>
          <w:rFonts w:ascii="Arial" w:hAnsi="Arial" w:cs="Arial"/>
          <w:b/>
          <w:sz w:val="20"/>
          <w:szCs w:val="24"/>
        </w:rPr>
        <w:t xml:space="preserve">  Agronomy Journal statistics over the last 12 months for manuscripts submitted for possible publication. </w:t>
      </w:r>
    </w:p>
    <w:tbl>
      <w:tblPr>
        <w:tblStyle w:val="TableGrid"/>
        <w:tblW w:w="0" w:type="auto"/>
        <w:tblLook w:val="04A0" w:firstRow="1" w:lastRow="0" w:firstColumn="1" w:lastColumn="0" w:noHBand="0" w:noVBand="1"/>
      </w:tblPr>
      <w:tblGrid>
        <w:gridCol w:w="1536"/>
        <w:gridCol w:w="1151"/>
        <w:gridCol w:w="1699"/>
        <w:gridCol w:w="877"/>
        <w:gridCol w:w="1517"/>
        <w:gridCol w:w="1371"/>
        <w:gridCol w:w="1425"/>
      </w:tblGrid>
      <w:tr w:rsidR="001C6149" w:rsidRPr="00694DA8" w:rsidTr="001C6149">
        <w:trPr>
          <w:trHeight w:val="300"/>
        </w:trPr>
        <w:tc>
          <w:tcPr>
            <w:tcW w:w="1660" w:type="dxa"/>
            <w:noWrap/>
            <w:hideMark/>
          </w:tcPr>
          <w:p w:rsidR="001C6149" w:rsidRPr="00694DA8" w:rsidRDefault="001C6149">
            <w:pPr>
              <w:rPr>
                <w:rFonts w:ascii="Arial" w:hAnsi="Arial" w:cs="Arial"/>
                <w:b/>
                <w:bCs/>
                <w:sz w:val="20"/>
                <w:szCs w:val="24"/>
              </w:rPr>
            </w:pPr>
            <w:r w:rsidRPr="00694DA8">
              <w:rPr>
                <w:rFonts w:ascii="Arial" w:hAnsi="Arial" w:cs="Arial"/>
                <w:b/>
                <w:bCs/>
                <w:sz w:val="20"/>
                <w:szCs w:val="24"/>
              </w:rPr>
              <w:t>Past 12 Months</w:t>
            </w:r>
          </w:p>
        </w:tc>
        <w:tc>
          <w:tcPr>
            <w:tcW w:w="1240" w:type="dxa"/>
            <w:noWrap/>
            <w:hideMark/>
          </w:tcPr>
          <w:p w:rsidR="001C6149" w:rsidRPr="00694DA8" w:rsidRDefault="001C6149">
            <w:pPr>
              <w:rPr>
                <w:rFonts w:ascii="Arial" w:hAnsi="Arial" w:cs="Arial"/>
                <w:b/>
                <w:bCs/>
                <w:sz w:val="20"/>
                <w:szCs w:val="24"/>
              </w:rPr>
            </w:pPr>
          </w:p>
        </w:tc>
        <w:tc>
          <w:tcPr>
            <w:tcW w:w="1840" w:type="dxa"/>
            <w:noWrap/>
            <w:hideMark/>
          </w:tcPr>
          <w:p w:rsidR="001C6149" w:rsidRPr="00694DA8" w:rsidRDefault="001C6149">
            <w:pPr>
              <w:rPr>
                <w:rFonts w:ascii="Arial" w:hAnsi="Arial" w:cs="Arial"/>
                <w:b/>
                <w:bCs/>
                <w:sz w:val="20"/>
                <w:szCs w:val="24"/>
              </w:rPr>
            </w:pPr>
          </w:p>
        </w:tc>
        <w:tc>
          <w:tcPr>
            <w:tcW w:w="940" w:type="dxa"/>
            <w:noWrap/>
            <w:hideMark/>
          </w:tcPr>
          <w:p w:rsidR="001C6149" w:rsidRPr="00694DA8" w:rsidRDefault="001C6149">
            <w:pPr>
              <w:rPr>
                <w:rFonts w:ascii="Arial" w:hAnsi="Arial" w:cs="Arial"/>
                <w:b/>
                <w:bCs/>
                <w:sz w:val="20"/>
                <w:szCs w:val="24"/>
              </w:rPr>
            </w:pPr>
          </w:p>
        </w:tc>
        <w:tc>
          <w:tcPr>
            <w:tcW w:w="1640" w:type="dxa"/>
            <w:noWrap/>
            <w:hideMark/>
          </w:tcPr>
          <w:p w:rsidR="001C6149" w:rsidRPr="00694DA8" w:rsidRDefault="001C6149">
            <w:pPr>
              <w:rPr>
                <w:rFonts w:ascii="Arial" w:hAnsi="Arial" w:cs="Arial"/>
                <w:b/>
                <w:bCs/>
                <w:sz w:val="20"/>
                <w:szCs w:val="24"/>
              </w:rPr>
            </w:pPr>
          </w:p>
        </w:tc>
        <w:tc>
          <w:tcPr>
            <w:tcW w:w="1480" w:type="dxa"/>
            <w:noWrap/>
            <w:hideMark/>
          </w:tcPr>
          <w:p w:rsidR="001C6149" w:rsidRPr="00694DA8" w:rsidRDefault="001C6149">
            <w:pPr>
              <w:rPr>
                <w:rFonts w:ascii="Arial" w:hAnsi="Arial" w:cs="Arial"/>
                <w:b/>
                <w:bCs/>
                <w:sz w:val="20"/>
                <w:szCs w:val="24"/>
              </w:rPr>
            </w:pPr>
          </w:p>
        </w:tc>
        <w:tc>
          <w:tcPr>
            <w:tcW w:w="1540" w:type="dxa"/>
            <w:noWrap/>
            <w:hideMark/>
          </w:tcPr>
          <w:p w:rsidR="001C6149" w:rsidRPr="00694DA8" w:rsidRDefault="001C6149">
            <w:pPr>
              <w:rPr>
                <w:rFonts w:ascii="Arial" w:hAnsi="Arial" w:cs="Arial"/>
                <w:b/>
                <w:bCs/>
                <w:sz w:val="20"/>
                <w:szCs w:val="24"/>
              </w:rPr>
            </w:pPr>
          </w:p>
        </w:tc>
      </w:tr>
      <w:tr w:rsidR="001C6149" w:rsidRPr="00694DA8" w:rsidTr="001C6149">
        <w:trPr>
          <w:trHeight w:val="300"/>
        </w:trPr>
        <w:tc>
          <w:tcPr>
            <w:tcW w:w="1660" w:type="dxa"/>
            <w:noWrap/>
            <w:hideMark/>
          </w:tcPr>
          <w:p w:rsidR="001C6149" w:rsidRPr="00694DA8" w:rsidRDefault="001C6149">
            <w:pPr>
              <w:rPr>
                <w:rFonts w:ascii="Arial" w:hAnsi="Arial" w:cs="Arial"/>
                <w:b/>
                <w:bCs/>
                <w:sz w:val="20"/>
                <w:szCs w:val="24"/>
              </w:rPr>
            </w:pPr>
            <w:r w:rsidRPr="00694DA8">
              <w:rPr>
                <w:rFonts w:ascii="Arial" w:hAnsi="Arial" w:cs="Arial"/>
                <w:b/>
                <w:bCs/>
                <w:sz w:val="20"/>
                <w:szCs w:val="24"/>
              </w:rPr>
              <w:t>Submitted</w:t>
            </w:r>
          </w:p>
        </w:tc>
        <w:tc>
          <w:tcPr>
            <w:tcW w:w="1240" w:type="dxa"/>
            <w:noWrap/>
            <w:hideMark/>
          </w:tcPr>
          <w:p w:rsidR="001C6149" w:rsidRPr="00694DA8" w:rsidRDefault="001C6149">
            <w:pPr>
              <w:rPr>
                <w:rFonts w:ascii="Arial" w:hAnsi="Arial" w:cs="Arial"/>
                <w:b/>
                <w:bCs/>
                <w:sz w:val="20"/>
                <w:szCs w:val="24"/>
              </w:rPr>
            </w:pPr>
            <w:r w:rsidRPr="00694DA8">
              <w:rPr>
                <w:rFonts w:ascii="Arial" w:hAnsi="Arial" w:cs="Arial"/>
                <w:b/>
                <w:bCs/>
                <w:sz w:val="20"/>
                <w:szCs w:val="24"/>
              </w:rPr>
              <w:t>Accepted</w:t>
            </w:r>
          </w:p>
        </w:tc>
        <w:tc>
          <w:tcPr>
            <w:tcW w:w="1840" w:type="dxa"/>
            <w:noWrap/>
            <w:hideMark/>
          </w:tcPr>
          <w:p w:rsidR="001C6149" w:rsidRPr="00694DA8" w:rsidRDefault="001C6149">
            <w:pPr>
              <w:rPr>
                <w:rFonts w:ascii="Arial" w:hAnsi="Arial" w:cs="Arial"/>
                <w:b/>
                <w:bCs/>
                <w:sz w:val="20"/>
                <w:szCs w:val="24"/>
              </w:rPr>
            </w:pPr>
            <w:r w:rsidRPr="00694DA8">
              <w:rPr>
                <w:rFonts w:ascii="Arial" w:hAnsi="Arial" w:cs="Arial"/>
                <w:b/>
                <w:bCs/>
                <w:sz w:val="20"/>
                <w:szCs w:val="24"/>
              </w:rPr>
              <w:t>Immediate Reject</w:t>
            </w:r>
          </w:p>
        </w:tc>
        <w:tc>
          <w:tcPr>
            <w:tcW w:w="940" w:type="dxa"/>
            <w:noWrap/>
            <w:hideMark/>
          </w:tcPr>
          <w:p w:rsidR="001C6149" w:rsidRPr="00694DA8" w:rsidRDefault="001C6149">
            <w:pPr>
              <w:rPr>
                <w:rFonts w:ascii="Arial" w:hAnsi="Arial" w:cs="Arial"/>
                <w:b/>
                <w:bCs/>
                <w:sz w:val="20"/>
                <w:szCs w:val="24"/>
              </w:rPr>
            </w:pPr>
            <w:r w:rsidRPr="00694DA8">
              <w:rPr>
                <w:rFonts w:ascii="Arial" w:hAnsi="Arial" w:cs="Arial"/>
                <w:b/>
                <w:bCs/>
                <w:sz w:val="20"/>
                <w:szCs w:val="24"/>
              </w:rPr>
              <w:t>Reject</w:t>
            </w:r>
          </w:p>
        </w:tc>
        <w:tc>
          <w:tcPr>
            <w:tcW w:w="1640" w:type="dxa"/>
            <w:noWrap/>
            <w:hideMark/>
          </w:tcPr>
          <w:p w:rsidR="001C6149" w:rsidRPr="00694DA8" w:rsidRDefault="001C6149">
            <w:pPr>
              <w:rPr>
                <w:rFonts w:ascii="Arial" w:hAnsi="Arial" w:cs="Arial"/>
                <w:b/>
                <w:bCs/>
                <w:sz w:val="20"/>
                <w:szCs w:val="24"/>
              </w:rPr>
            </w:pPr>
            <w:r w:rsidRPr="00694DA8">
              <w:rPr>
                <w:rFonts w:ascii="Arial" w:hAnsi="Arial" w:cs="Arial"/>
                <w:b/>
                <w:bCs/>
                <w:sz w:val="20"/>
                <w:szCs w:val="24"/>
              </w:rPr>
              <w:t>Minor Revision</w:t>
            </w:r>
          </w:p>
        </w:tc>
        <w:tc>
          <w:tcPr>
            <w:tcW w:w="1480" w:type="dxa"/>
            <w:noWrap/>
            <w:hideMark/>
          </w:tcPr>
          <w:p w:rsidR="001C6149" w:rsidRPr="00694DA8" w:rsidRDefault="001C6149">
            <w:pPr>
              <w:rPr>
                <w:rFonts w:ascii="Arial" w:hAnsi="Arial" w:cs="Arial"/>
                <w:b/>
                <w:bCs/>
                <w:sz w:val="20"/>
                <w:szCs w:val="24"/>
              </w:rPr>
            </w:pPr>
            <w:r w:rsidRPr="00694DA8">
              <w:rPr>
                <w:rFonts w:ascii="Arial" w:hAnsi="Arial" w:cs="Arial"/>
                <w:b/>
                <w:bCs/>
                <w:sz w:val="20"/>
                <w:szCs w:val="24"/>
              </w:rPr>
              <w:t>Major Revision</w:t>
            </w:r>
          </w:p>
        </w:tc>
        <w:tc>
          <w:tcPr>
            <w:tcW w:w="1540" w:type="dxa"/>
            <w:noWrap/>
            <w:hideMark/>
          </w:tcPr>
          <w:p w:rsidR="001C6149" w:rsidRPr="00694DA8" w:rsidRDefault="001C6149">
            <w:pPr>
              <w:rPr>
                <w:rFonts w:ascii="Arial" w:hAnsi="Arial" w:cs="Arial"/>
                <w:b/>
                <w:bCs/>
                <w:sz w:val="20"/>
                <w:szCs w:val="24"/>
              </w:rPr>
            </w:pPr>
            <w:r w:rsidRPr="00694DA8">
              <w:rPr>
                <w:rFonts w:ascii="Arial" w:hAnsi="Arial" w:cs="Arial"/>
                <w:b/>
                <w:bCs/>
                <w:sz w:val="20"/>
                <w:szCs w:val="24"/>
              </w:rPr>
              <w:t>% Accepted</w:t>
            </w:r>
          </w:p>
        </w:tc>
      </w:tr>
      <w:tr w:rsidR="001C6149" w:rsidRPr="00694DA8" w:rsidTr="001C6149">
        <w:trPr>
          <w:trHeight w:val="300"/>
        </w:trPr>
        <w:tc>
          <w:tcPr>
            <w:tcW w:w="1660" w:type="dxa"/>
            <w:noWrap/>
            <w:hideMark/>
          </w:tcPr>
          <w:p w:rsidR="001C6149" w:rsidRPr="00694DA8" w:rsidRDefault="001C6149">
            <w:pPr>
              <w:rPr>
                <w:rFonts w:ascii="Arial" w:hAnsi="Arial" w:cs="Arial"/>
                <w:sz w:val="20"/>
                <w:szCs w:val="24"/>
              </w:rPr>
            </w:pPr>
            <w:r w:rsidRPr="00694DA8">
              <w:rPr>
                <w:rFonts w:ascii="Arial" w:hAnsi="Arial" w:cs="Arial"/>
                <w:sz w:val="20"/>
                <w:szCs w:val="24"/>
              </w:rPr>
              <w:t>462</w:t>
            </w:r>
          </w:p>
        </w:tc>
        <w:tc>
          <w:tcPr>
            <w:tcW w:w="1240" w:type="dxa"/>
            <w:noWrap/>
            <w:hideMark/>
          </w:tcPr>
          <w:p w:rsidR="001C6149" w:rsidRPr="00694DA8" w:rsidRDefault="001C6149">
            <w:pPr>
              <w:rPr>
                <w:rFonts w:ascii="Arial" w:hAnsi="Arial" w:cs="Arial"/>
                <w:sz w:val="20"/>
                <w:szCs w:val="24"/>
              </w:rPr>
            </w:pPr>
            <w:r w:rsidRPr="00694DA8">
              <w:rPr>
                <w:rFonts w:ascii="Arial" w:hAnsi="Arial" w:cs="Arial"/>
                <w:sz w:val="20"/>
                <w:szCs w:val="24"/>
              </w:rPr>
              <w:t>191</w:t>
            </w:r>
          </w:p>
        </w:tc>
        <w:tc>
          <w:tcPr>
            <w:tcW w:w="1840" w:type="dxa"/>
            <w:noWrap/>
            <w:hideMark/>
          </w:tcPr>
          <w:p w:rsidR="001C6149" w:rsidRPr="00694DA8" w:rsidRDefault="001C6149">
            <w:pPr>
              <w:rPr>
                <w:rFonts w:ascii="Arial" w:hAnsi="Arial" w:cs="Arial"/>
                <w:sz w:val="20"/>
                <w:szCs w:val="24"/>
              </w:rPr>
            </w:pPr>
            <w:r w:rsidRPr="00694DA8">
              <w:rPr>
                <w:rFonts w:ascii="Arial" w:hAnsi="Arial" w:cs="Arial"/>
                <w:sz w:val="20"/>
                <w:szCs w:val="24"/>
              </w:rPr>
              <w:t>47</w:t>
            </w:r>
          </w:p>
        </w:tc>
        <w:tc>
          <w:tcPr>
            <w:tcW w:w="940" w:type="dxa"/>
            <w:noWrap/>
            <w:hideMark/>
          </w:tcPr>
          <w:p w:rsidR="001C6149" w:rsidRPr="00694DA8" w:rsidRDefault="001C6149">
            <w:pPr>
              <w:rPr>
                <w:rFonts w:ascii="Arial" w:hAnsi="Arial" w:cs="Arial"/>
                <w:sz w:val="20"/>
                <w:szCs w:val="24"/>
              </w:rPr>
            </w:pPr>
            <w:r w:rsidRPr="00694DA8">
              <w:rPr>
                <w:rFonts w:ascii="Arial" w:hAnsi="Arial" w:cs="Arial"/>
                <w:sz w:val="20"/>
                <w:szCs w:val="24"/>
              </w:rPr>
              <w:t>184</w:t>
            </w:r>
          </w:p>
        </w:tc>
        <w:tc>
          <w:tcPr>
            <w:tcW w:w="1640" w:type="dxa"/>
            <w:noWrap/>
            <w:hideMark/>
          </w:tcPr>
          <w:p w:rsidR="001C6149" w:rsidRPr="00694DA8" w:rsidRDefault="001C6149">
            <w:pPr>
              <w:rPr>
                <w:rFonts w:ascii="Arial" w:hAnsi="Arial" w:cs="Arial"/>
                <w:sz w:val="20"/>
                <w:szCs w:val="24"/>
              </w:rPr>
            </w:pPr>
            <w:r w:rsidRPr="00694DA8">
              <w:rPr>
                <w:rFonts w:ascii="Arial" w:hAnsi="Arial" w:cs="Arial"/>
                <w:sz w:val="20"/>
                <w:szCs w:val="24"/>
              </w:rPr>
              <w:t>149</w:t>
            </w:r>
          </w:p>
        </w:tc>
        <w:tc>
          <w:tcPr>
            <w:tcW w:w="1480" w:type="dxa"/>
            <w:noWrap/>
            <w:hideMark/>
          </w:tcPr>
          <w:p w:rsidR="001C6149" w:rsidRPr="00694DA8" w:rsidRDefault="001C6149">
            <w:pPr>
              <w:rPr>
                <w:rFonts w:ascii="Arial" w:hAnsi="Arial" w:cs="Arial"/>
                <w:sz w:val="20"/>
                <w:szCs w:val="24"/>
              </w:rPr>
            </w:pPr>
            <w:r w:rsidRPr="00694DA8">
              <w:rPr>
                <w:rFonts w:ascii="Arial" w:hAnsi="Arial" w:cs="Arial"/>
                <w:sz w:val="20"/>
                <w:szCs w:val="24"/>
              </w:rPr>
              <w:t>181</w:t>
            </w:r>
          </w:p>
        </w:tc>
        <w:tc>
          <w:tcPr>
            <w:tcW w:w="1540" w:type="dxa"/>
            <w:noWrap/>
            <w:hideMark/>
          </w:tcPr>
          <w:p w:rsidR="001C6149" w:rsidRPr="00694DA8" w:rsidRDefault="001C6149">
            <w:pPr>
              <w:rPr>
                <w:rFonts w:ascii="Arial" w:hAnsi="Arial" w:cs="Arial"/>
                <w:sz w:val="20"/>
                <w:szCs w:val="24"/>
              </w:rPr>
            </w:pPr>
            <w:r w:rsidRPr="00694DA8">
              <w:rPr>
                <w:rFonts w:ascii="Arial" w:hAnsi="Arial" w:cs="Arial"/>
                <w:sz w:val="20"/>
                <w:szCs w:val="24"/>
              </w:rPr>
              <w:t>45.30%</w:t>
            </w:r>
          </w:p>
        </w:tc>
      </w:tr>
      <w:tr w:rsidR="001C6149" w:rsidRPr="00694DA8" w:rsidTr="001C6149">
        <w:trPr>
          <w:trHeight w:val="300"/>
        </w:trPr>
        <w:tc>
          <w:tcPr>
            <w:tcW w:w="1660" w:type="dxa"/>
            <w:noWrap/>
            <w:hideMark/>
          </w:tcPr>
          <w:p w:rsidR="001C6149" w:rsidRPr="00694DA8" w:rsidRDefault="001C6149">
            <w:pPr>
              <w:rPr>
                <w:rFonts w:ascii="Arial" w:hAnsi="Arial" w:cs="Arial"/>
                <w:b/>
                <w:bCs/>
                <w:sz w:val="20"/>
                <w:szCs w:val="24"/>
              </w:rPr>
            </w:pPr>
          </w:p>
        </w:tc>
        <w:tc>
          <w:tcPr>
            <w:tcW w:w="1240" w:type="dxa"/>
            <w:noWrap/>
            <w:hideMark/>
          </w:tcPr>
          <w:p w:rsidR="001C6149" w:rsidRPr="00694DA8" w:rsidRDefault="001C6149">
            <w:pPr>
              <w:rPr>
                <w:rFonts w:ascii="Arial" w:hAnsi="Arial" w:cs="Arial"/>
                <w:b/>
                <w:bCs/>
                <w:sz w:val="20"/>
                <w:szCs w:val="24"/>
              </w:rPr>
            </w:pPr>
          </w:p>
        </w:tc>
        <w:tc>
          <w:tcPr>
            <w:tcW w:w="1840" w:type="dxa"/>
            <w:noWrap/>
            <w:hideMark/>
          </w:tcPr>
          <w:p w:rsidR="001C6149" w:rsidRPr="00694DA8" w:rsidRDefault="001C6149">
            <w:pPr>
              <w:rPr>
                <w:rFonts w:ascii="Arial" w:hAnsi="Arial" w:cs="Arial"/>
                <w:b/>
                <w:bCs/>
                <w:sz w:val="20"/>
                <w:szCs w:val="24"/>
              </w:rPr>
            </w:pPr>
          </w:p>
        </w:tc>
        <w:tc>
          <w:tcPr>
            <w:tcW w:w="940" w:type="dxa"/>
            <w:noWrap/>
            <w:hideMark/>
          </w:tcPr>
          <w:p w:rsidR="001C6149" w:rsidRPr="00694DA8" w:rsidRDefault="001C6149">
            <w:pPr>
              <w:rPr>
                <w:rFonts w:ascii="Arial" w:hAnsi="Arial" w:cs="Arial"/>
                <w:b/>
                <w:bCs/>
                <w:sz w:val="20"/>
                <w:szCs w:val="24"/>
              </w:rPr>
            </w:pPr>
          </w:p>
        </w:tc>
        <w:tc>
          <w:tcPr>
            <w:tcW w:w="1640" w:type="dxa"/>
            <w:noWrap/>
            <w:hideMark/>
          </w:tcPr>
          <w:p w:rsidR="001C6149" w:rsidRPr="00694DA8" w:rsidRDefault="001C6149">
            <w:pPr>
              <w:rPr>
                <w:rFonts w:ascii="Arial" w:hAnsi="Arial" w:cs="Arial"/>
                <w:b/>
                <w:bCs/>
                <w:sz w:val="20"/>
                <w:szCs w:val="24"/>
              </w:rPr>
            </w:pPr>
          </w:p>
        </w:tc>
        <w:tc>
          <w:tcPr>
            <w:tcW w:w="1480" w:type="dxa"/>
            <w:noWrap/>
            <w:hideMark/>
          </w:tcPr>
          <w:p w:rsidR="001C6149" w:rsidRPr="00694DA8" w:rsidRDefault="001C6149">
            <w:pPr>
              <w:rPr>
                <w:rFonts w:ascii="Arial" w:hAnsi="Arial" w:cs="Arial"/>
                <w:b/>
                <w:bCs/>
                <w:sz w:val="20"/>
                <w:szCs w:val="24"/>
              </w:rPr>
            </w:pPr>
          </w:p>
        </w:tc>
        <w:tc>
          <w:tcPr>
            <w:tcW w:w="1540" w:type="dxa"/>
            <w:noWrap/>
            <w:hideMark/>
          </w:tcPr>
          <w:p w:rsidR="001C6149" w:rsidRPr="00694DA8" w:rsidRDefault="001C6149">
            <w:pPr>
              <w:rPr>
                <w:rFonts w:ascii="Arial" w:hAnsi="Arial" w:cs="Arial"/>
                <w:b/>
                <w:bCs/>
                <w:sz w:val="20"/>
                <w:szCs w:val="24"/>
              </w:rPr>
            </w:pPr>
          </w:p>
        </w:tc>
      </w:tr>
      <w:tr w:rsidR="001C6149" w:rsidRPr="00694DA8" w:rsidTr="001C6149">
        <w:trPr>
          <w:trHeight w:val="420"/>
        </w:trPr>
        <w:tc>
          <w:tcPr>
            <w:tcW w:w="1660" w:type="dxa"/>
            <w:hideMark/>
          </w:tcPr>
          <w:p w:rsidR="001C6149" w:rsidRPr="00694DA8" w:rsidRDefault="001C6149">
            <w:pPr>
              <w:rPr>
                <w:rFonts w:ascii="Arial" w:hAnsi="Arial" w:cs="Arial"/>
                <w:sz w:val="20"/>
                <w:szCs w:val="24"/>
              </w:rPr>
            </w:pPr>
            <w:r w:rsidRPr="00694DA8">
              <w:rPr>
                <w:rFonts w:ascii="Arial" w:hAnsi="Arial" w:cs="Arial"/>
                <w:sz w:val="20"/>
                <w:szCs w:val="24"/>
              </w:rPr>
              <w:t>Journal Statistics</w:t>
            </w:r>
          </w:p>
        </w:tc>
        <w:tc>
          <w:tcPr>
            <w:tcW w:w="1240" w:type="dxa"/>
            <w:noWrap/>
            <w:hideMark/>
          </w:tcPr>
          <w:p w:rsidR="001C6149" w:rsidRPr="00694DA8" w:rsidRDefault="001C6149">
            <w:pPr>
              <w:rPr>
                <w:rFonts w:ascii="Arial" w:hAnsi="Arial" w:cs="Arial"/>
                <w:b/>
                <w:bCs/>
                <w:sz w:val="20"/>
                <w:szCs w:val="24"/>
              </w:rPr>
            </w:pPr>
            <w:r w:rsidRPr="00694DA8">
              <w:rPr>
                <w:rFonts w:ascii="Arial" w:hAnsi="Arial" w:cs="Arial"/>
                <w:b/>
                <w:bCs/>
                <w:sz w:val="20"/>
                <w:szCs w:val="24"/>
              </w:rPr>
              <w:t> </w:t>
            </w:r>
          </w:p>
        </w:tc>
        <w:tc>
          <w:tcPr>
            <w:tcW w:w="1840" w:type="dxa"/>
            <w:noWrap/>
            <w:hideMark/>
          </w:tcPr>
          <w:p w:rsidR="001C6149" w:rsidRPr="00694DA8" w:rsidRDefault="001C6149">
            <w:pPr>
              <w:rPr>
                <w:rFonts w:ascii="Arial" w:hAnsi="Arial" w:cs="Arial"/>
                <w:b/>
                <w:bCs/>
                <w:sz w:val="20"/>
                <w:szCs w:val="24"/>
              </w:rPr>
            </w:pPr>
            <w:r w:rsidRPr="00694DA8">
              <w:rPr>
                <w:rFonts w:ascii="Arial" w:hAnsi="Arial" w:cs="Arial"/>
                <w:b/>
                <w:bCs/>
                <w:sz w:val="20"/>
                <w:szCs w:val="24"/>
              </w:rPr>
              <w:t> </w:t>
            </w:r>
          </w:p>
        </w:tc>
        <w:tc>
          <w:tcPr>
            <w:tcW w:w="940" w:type="dxa"/>
            <w:noWrap/>
            <w:hideMark/>
          </w:tcPr>
          <w:p w:rsidR="001C6149" w:rsidRPr="00694DA8" w:rsidRDefault="001C6149">
            <w:pPr>
              <w:rPr>
                <w:rFonts w:ascii="Arial" w:hAnsi="Arial" w:cs="Arial"/>
                <w:b/>
                <w:bCs/>
                <w:sz w:val="20"/>
                <w:szCs w:val="24"/>
              </w:rPr>
            </w:pPr>
            <w:r w:rsidRPr="00694DA8">
              <w:rPr>
                <w:rFonts w:ascii="Arial" w:hAnsi="Arial" w:cs="Arial"/>
                <w:b/>
                <w:bCs/>
                <w:sz w:val="20"/>
                <w:szCs w:val="24"/>
              </w:rPr>
              <w:t> </w:t>
            </w:r>
          </w:p>
        </w:tc>
        <w:tc>
          <w:tcPr>
            <w:tcW w:w="1640" w:type="dxa"/>
            <w:hideMark/>
          </w:tcPr>
          <w:p w:rsidR="001C6149" w:rsidRPr="00694DA8" w:rsidRDefault="001C6149" w:rsidP="001C6149">
            <w:pPr>
              <w:rPr>
                <w:rFonts w:ascii="Arial" w:hAnsi="Arial" w:cs="Arial"/>
                <w:sz w:val="20"/>
                <w:szCs w:val="24"/>
              </w:rPr>
            </w:pPr>
            <w:r w:rsidRPr="00694DA8">
              <w:rPr>
                <w:rFonts w:ascii="Arial" w:hAnsi="Arial" w:cs="Arial"/>
                <w:sz w:val="20"/>
                <w:szCs w:val="24"/>
              </w:rPr>
              <w:t>Prior 12 Months</w:t>
            </w:r>
          </w:p>
        </w:tc>
        <w:tc>
          <w:tcPr>
            <w:tcW w:w="1480" w:type="dxa"/>
            <w:noWrap/>
            <w:hideMark/>
          </w:tcPr>
          <w:p w:rsidR="001C6149" w:rsidRPr="00694DA8" w:rsidRDefault="001C6149">
            <w:pPr>
              <w:rPr>
                <w:rFonts w:ascii="Arial" w:hAnsi="Arial" w:cs="Arial"/>
                <w:b/>
                <w:bCs/>
                <w:sz w:val="20"/>
                <w:szCs w:val="24"/>
              </w:rPr>
            </w:pPr>
          </w:p>
        </w:tc>
        <w:tc>
          <w:tcPr>
            <w:tcW w:w="1540" w:type="dxa"/>
            <w:noWrap/>
            <w:hideMark/>
          </w:tcPr>
          <w:p w:rsidR="001C6149" w:rsidRPr="00694DA8" w:rsidRDefault="001C6149">
            <w:pPr>
              <w:rPr>
                <w:rFonts w:ascii="Arial" w:hAnsi="Arial" w:cs="Arial"/>
                <w:b/>
                <w:bCs/>
                <w:sz w:val="20"/>
                <w:szCs w:val="24"/>
              </w:rPr>
            </w:pPr>
          </w:p>
        </w:tc>
      </w:tr>
      <w:tr w:rsidR="001C6149" w:rsidRPr="00694DA8" w:rsidTr="001C6149">
        <w:trPr>
          <w:trHeight w:val="300"/>
        </w:trPr>
        <w:tc>
          <w:tcPr>
            <w:tcW w:w="5680" w:type="dxa"/>
            <w:gridSpan w:val="4"/>
            <w:hideMark/>
          </w:tcPr>
          <w:p w:rsidR="001C6149" w:rsidRPr="00694DA8" w:rsidRDefault="001C6149">
            <w:pPr>
              <w:rPr>
                <w:rFonts w:ascii="Arial" w:hAnsi="Arial" w:cs="Arial"/>
                <w:sz w:val="20"/>
                <w:szCs w:val="24"/>
              </w:rPr>
            </w:pPr>
            <w:r w:rsidRPr="00694DA8">
              <w:rPr>
                <w:rFonts w:ascii="Arial" w:hAnsi="Arial" w:cs="Arial"/>
                <w:sz w:val="20"/>
                <w:szCs w:val="24"/>
              </w:rPr>
              <w:t>Avg. days from submission to first decision</w:t>
            </w:r>
          </w:p>
        </w:tc>
        <w:tc>
          <w:tcPr>
            <w:tcW w:w="1640" w:type="dxa"/>
            <w:hideMark/>
          </w:tcPr>
          <w:p w:rsidR="001C6149" w:rsidRPr="00694DA8" w:rsidRDefault="001C6149" w:rsidP="001C6149">
            <w:pPr>
              <w:rPr>
                <w:rFonts w:ascii="Arial" w:hAnsi="Arial" w:cs="Arial"/>
                <w:sz w:val="20"/>
                <w:szCs w:val="24"/>
              </w:rPr>
            </w:pPr>
            <w:r w:rsidRPr="00694DA8">
              <w:rPr>
                <w:rFonts w:ascii="Arial" w:hAnsi="Arial" w:cs="Arial"/>
                <w:sz w:val="20"/>
                <w:szCs w:val="24"/>
              </w:rPr>
              <w:t>34</w:t>
            </w:r>
          </w:p>
        </w:tc>
        <w:tc>
          <w:tcPr>
            <w:tcW w:w="1480" w:type="dxa"/>
            <w:hideMark/>
          </w:tcPr>
          <w:p w:rsidR="001C6149" w:rsidRPr="00694DA8" w:rsidRDefault="001C6149">
            <w:pPr>
              <w:rPr>
                <w:rFonts w:ascii="Arial" w:hAnsi="Arial" w:cs="Arial"/>
                <w:sz w:val="20"/>
                <w:szCs w:val="24"/>
              </w:rPr>
            </w:pPr>
          </w:p>
        </w:tc>
        <w:tc>
          <w:tcPr>
            <w:tcW w:w="1540" w:type="dxa"/>
            <w:noWrap/>
            <w:hideMark/>
          </w:tcPr>
          <w:p w:rsidR="001C6149" w:rsidRPr="00694DA8" w:rsidRDefault="001C6149">
            <w:pPr>
              <w:rPr>
                <w:rFonts w:ascii="Arial" w:hAnsi="Arial" w:cs="Arial"/>
                <w:b/>
                <w:bCs/>
                <w:sz w:val="20"/>
                <w:szCs w:val="24"/>
              </w:rPr>
            </w:pPr>
          </w:p>
        </w:tc>
      </w:tr>
      <w:tr w:rsidR="001C6149" w:rsidRPr="00694DA8" w:rsidTr="001C6149">
        <w:trPr>
          <w:trHeight w:val="300"/>
        </w:trPr>
        <w:tc>
          <w:tcPr>
            <w:tcW w:w="5680" w:type="dxa"/>
            <w:gridSpan w:val="4"/>
            <w:hideMark/>
          </w:tcPr>
          <w:p w:rsidR="001C6149" w:rsidRPr="00694DA8" w:rsidRDefault="001C6149">
            <w:pPr>
              <w:rPr>
                <w:rFonts w:ascii="Arial" w:hAnsi="Arial" w:cs="Arial"/>
                <w:sz w:val="20"/>
                <w:szCs w:val="24"/>
              </w:rPr>
            </w:pPr>
            <w:r w:rsidRPr="00694DA8">
              <w:rPr>
                <w:rFonts w:ascii="Arial" w:hAnsi="Arial" w:cs="Arial"/>
                <w:sz w:val="20"/>
                <w:szCs w:val="24"/>
              </w:rPr>
              <w:t>Avg. Associate Editor turnaround time (days) - </w:t>
            </w:r>
            <w:r w:rsidRPr="00694DA8">
              <w:rPr>
                <w:rFonts w:ascii="Arial" w:hAnsi="Arial" w:cs="Arial"/>
                <w:b/>
                <w:bCs/>
                <w:sz w:val="20"/>
                <w:szCs w:val="24"/>
              </w:rPr>
              <w:t>Original</w:t>
            </w:r>
          </w:p>
        </w:tc>
        <w:tc>
          <w:tcPr>
            <w:tcW w:w="1640" w:type="dxa"/>
            <w:hideMark/>
          </w:tcPr>
          <w:p w:rsidR="001C6149" w:rsidRPr="00694DA8" w:rsidRDefault="001C6149" w:rsidP="001C6149">
            <w:pPr>
              <w:rPr>
                <w:rFonts w:ascii="Arial" w:hAnsi="Arial" w:cs="Arial"/>
                <w:sz w:val="20"/>
                <w:szCs w:val="24"/>
              </w:rPr>
            </w:pPr>
            <w:r w:rsidRPr="00694DA8">
              <w:rPr>
                <w:rFonts w:ascii="Arial" w:hAnsi="Arial" w:cs="Arial"/>
                <w:sz w:val="20"/>
                <w:szCs w:val="24"/>
              </w:rPr>
              <w:t>19</w:t>
            </w:r>
          </w:p>
        </w:tc>
        <w:tc>
          <w:tcPr>
            <w:tcW w:w="1480" w:type="dxa"/>
            <w:hideMark/>
          </w:tcPr>
          <w:p w:rsidR="001C6149" w:rsidRPr="00694DA8" w:rsidRDefault="001C6149">
            <w:pPr>
              <w:rPr>
                <w:rFonts w:ascii="Arial" w:hAnsi="Arial" w:cs="Arial"/>
                <w:sz w:val="20"/>
                <w:szCs w:val="24"/>
              </w:rPr>
            </w:pPr>
          </w:p>
        </w:tc>
        <w:tc>
          <w:tcPr>
            <w:tcW w:w="1540" w:type="dxa"/>
            <w:noWrap/>
            <w:hideMark/>
          </w:tcPr>
          <w:p w:rsidR="001C6149" w:rsidRPr="00694DA8" w:rsidRDefault="001C6149">
            <w:pPr>
              <w:rPr>
                <w:rFonts w:ascii="Arial" w:hAnsi="Arial" w:cs="Arial"/>
                <w:b/>
                <w:bCs/>
                <w:sz w:val="20"/>
                <w:szCs w:val="24"/>
              </w:rPr>
            </w:pPr>
          </w:p>
        </w:tc>
      </w:tr>
      <w:tr w:rsidR="001C6149" w:rsidRPr="00694DA8" w:rsidTr="001C6149">
        <w:trPr>
          <w:trHeight w:val="300"/>
        </w:trPr>
        <w:tc>
          <w:tcPr>
            <w:tcW w:w="5680" w:type="dxa"/>
            <w:gridSpan w:val="4"/>
            <w:hideMark/>
          </w:tcPr>
          <w:p w:rsidR="001C6149" w:rsidRPr="00694DA8" w:rsidRDefault="001C6149">
            <w:pPr>
              <w:rPr>
                <w:rFonts w:ascii="Arial" w:hAnsi="Arial" w:cs="Arial"/>
                <w:sz w:val="20"/>
                <w:szCs w:val="24"/>
              </w:rPr>
            </w:pPr>
            <w:r w:rsidRPr="00694DA8">
              <w:rPr>
                <w:rFonts w:ascii="Arial" w:hAnsi="Arial" w:cs="Arial"/>
                <w:sz w:val="20"/>
                <w:szCs w:val="24"/>
              </w:rPr>
              <w:t>Avg. Reviewer turnaround time (days) - </w:t>
            </w:r>
            <w:r w:rsidRPr="00694DA8">
              <w:rPr>
                <w:rFonts w:ascii="Arial" w:hAnsi="Arial" w:cs="Arial"/>
                <w:b/>
                <w:bCs/>
                <w:sz w:val="20"/>
                <w:szCs w:val="24"/>
              </w:rPr>
              <w:t>Original</w:t>
            </w:r>
          </w:p>
        </w:tc>
        <w:tc>
          <w:tcPr>
            <w:tcW w:w="1640" w:type="dxa"/>
            <w:hideMark/>
          </w:tcPr>
          <w:p w:rsidR="001C6149" w:rsidRPr="00694DA8" w:rsidRDefault="001C6149" w:rsidP="001C6149">
            <w:pPr>
              <w:rPr>
                <w:rFonts w:ascii="Arial" w:hAnsi="Arial" w:cs="Arial"/>
                <w:sz w:val="20"/>
                <w:szCs w:val="24"/>
              </w:rPr>
            </w:pPr>
            <w:r w:rsidRPr="00694DA8">
              <w:rPr>
                <w:rFonts w:ascii="Arial" w:hAnsi="Arial" w:cs="Arial"/>
                <w:sz w:val="20"/>
                <w:szCs w:val="24"/>
              </w:rPr>
              <w:t>19</w:t>
            </w:r>
          </w:p>
        </w:tc>
        <w:tc>
          <w:tcPr>
            <w:tcW w:w="1480" w:type="dxa"/>
            <w:hideMark/>
          </w:tcPr>
          <w:p w:rsidR="001C6149" w:rsidRPr="00694DA8" w:rsidRDefault="001C6149">
            <w:pPr>
              <w:rPr>
                <w:rFonts w:ascii="Arial" w:hAnsi="Arial" w:cs="Arial"/>
                <w:sz w:val="20"/>
                <w:szCs w:val="24"/>
              </w:rPr>
            </w:pPr>
          </w:p>
        </w:tc>
        <w:tc>
          <w:tcPr>
            <w:tcW w:w="1540" w:type="dxa"/>
            <w:noWrap/>
            <w:hideMark/>
          </w:tcPr>
          <w:p w:rsidR="001C6149" w:rsidRPr="00694DA8" w:rsidRDefault="001C6149">
            <w:pPr>
              <w:rPr>
                <w:rFonts w:ascii="Arial" w:hAnsi="Arial" w:cs="Arial"/>
                <w:b/>
                <w:bCs/>
                <w:sz w:val="20"/>
                <w:szCs w:val="24"/>
              </w:rPr>
            </w:pPr>
          </w:p>
        </w:tc>
      </w:tr>
      <w:tr w:rsidR="001C6149" w:rsidRPr="00694DA8" w:rsidTr="001C6149">
        <w:trPr>
          <w:trHeight w:val="300"/>
        </w:trPr>
        <w:tc>
          <w:tcPr>
            <w:tcW w:w="5680" w:type="dxa"/>
            <w:gridSpan w:val="4"/>
            <w:hideMark/>
          </w:tcPr>
          <w:p w:rsidR="001C6149" w:rsidRPr="00694DA8" w:rsidRDefault="001C6149">
            <w:pPr>
              <w:rPr>
                <w:rFonts w:ascii="Arial" w:hAnsi="Arial" w:cs="Arial"/>
                <w:sz w:val="20"/>
                <w:szCs w:val="24"/>
              </w:rPr>
            </w:pPr>
            <w:r w:rsidRPr="00694DA8">
              <w:rPr>
                <w:rFonts w:ascii="Arial" w:hAnsi="Arial" w:cs="Arial"/>
                <w:sz w:val="20"/>
                <w:szCs w:val="24"/>
              </w:rPr>
              <w:t>Avg. Associate Editor turnaround time (days) - </w:t>
            </w:r>
            <w:r w:rsidRPr="00694DA8">
              <w:rPr>
                <w:rFonts w:ascii="Arial" w:hAnsi="Arial" w:cs="Arial"/>
                <w:b/>
                <w:bCs/>
                <w:sz w:val="20"/>
                <w:szCs w:val="24"/>
              </w:rPr>
              <w:t>Revision</w:t>
            </w:r>
          </w:p>
        </w:tc>
        <w:tc>
          <w:tcPr>
            <w:tcW w:w="1640" w:type="dxa"/>
            <w:hideMark/>
          </w:tcPr>
          <w:p w:rsidR="001C6149" w:rsidRPr="00694DA8" w:rsidRDefault="001C6149" w:rsidP="001C6149">
            <w:pPr>
              <w:rPr>
                <w:rFonts w:ascii="Arial" w:hAnsi="Arial" w:cs="Arial"/>
                <w:sz w:val="20"/>
                <w:szCs w:val="24"/>
              </w:rPr>
            </w:pPr>
            <w:r w:rsidRPr="00694DA8">
              <w:rPr>
                <w:rFonts w:ascii="Arial" w:hAnsi="Arial" w:cs="Arial"/>
                <w:sz w:val="20"/>
                <w:szCs w:val="24"/>
              </w:rPr>
              <w:t>14</w:t>
            </w:r>
          </w:p>
        </w:tc>
        <w:tc>
          <w:tcPr>
            <w:tcW w:w="1480" w:type="dxa"/>
            <w:hideMark/>
          </w:tcPr>
          <w:p w:rsidR="001C6149" w:rsidRPr="00694DA8" w:rsidRDefault="001C6149">
            <w:pPr>
              <w:rPr>
                <w:rFonts w:ascii="Arial" w:hAnsi="Arial" w:cs="Arial"/>
                <w:sz w:val="20"/>
                <w:szCs w:val="24"/>
              </w:rPr>
            </w:pPr>
          </w:p>
        </w:tc>
        <w:tc>
          <w:tcPr>
            <w:tcW w:w="1540" w:type="dxa"/>
            <w:noWrap/>
            <w:hideMark/>
          </w:tcPr>
          <w:p w:rsidR="001C6149" w:rsidRPr="00694DA8" w:rsidRDefault="001C6149">
            <w:pPr>
              <w:rPr>
                <w:rFonts w:ascii="Arial" w:hAnsi="Arial" w:cs="Arial"/>
                <w:b/>
                <w:bCs/>
                <w:sz w:val="20"/>
                <w:szCs w:val="24"/>
              </w:rPr>
            </w:pPr>
          </w:p>
        </w:tc>
      </w:tr>
      <w:tr w:rsidR="001C6149" w:rsidRPr="00694DA8" w:rsidTr="001C6149">
        <w:trPr>
          <w:trHeight w:val="300"/>
        </w:trPr>
        <w:tc>
          <w:tcPr>
            <w:tcW w:w="5680" w:type="dxa"/>
            <w:gridSpan w:val="4"/>
            <w:hideMark/>
          </w:tcPr>
          <w:p w:rsidR="001C6149" w:rsidRPr="00694DA8" w:rsidRDefault="001C6149">
            <w:pPr>
              <w:rPr>
                <w:rFonts w:ascii="Arial" w:hAnsi="Arial" w:cs="Arial"/>
                <w:sz w:val="20"/>
                <w:szCs w:val="24"/>
              </w:rPr>
            </w:pPr>
            <w:r w:rsidRPr="00694DA8">
              <w:rPr>
                <w:rFonts w:ascii="Arial" w:hAnsi="Arial" w:cs="Arial"/>
                <w:sz w:val="20"/>
                <w:szCs w:val="24"/>
              </w:rPr>
              <w:t>Avg. Reviewer turnaround time (days) - </w:t>
            </w:r>
            <w:r w:rsidRPr="00694DA8">
              <w:rPr>
                <w:rFonts w:ascii="Arial" w:hAnsi="Arial" w:cs="Arial"/>
                <w:b/>
                <w:bCs/>
                <w:sz w:val="20"/>
                <w:szCs w:val="24"/>
              </w:rPr>
              <w:t>Revision</w:t>
            </w:r>
          </w:p>
        </w:tc>
        <w:tc>
          <w:tcPr>
            <w:tcW w:w="1640" w:type="dxa"/>
            <w:hideMark/>
          </w:tcPr>
          <w:p w:rsidR="001C6149" w:rsidRPr="00694DA8" w:rsidRDefault="001C6149" w:rsidP="001C6149">
            <w:pPr>
              <w:rPr>
                <w:rFonts w:ascii="Arial" w:hAnsi="Arial" w:cs="Arial"/>
                <w:sz w:val="20"/>
                <w:szCs w:val="24"/>
              </w:rPr>
            </w:pPr>
            <w:r w:rsidRPr="00694DA8">
              <w:rPr>
                <w:rFonts w:ascii="Arial" w:hAnsi="Arial" w:cs="Arial"/>
                <w:sz w:val="20"/>
                <w:szCs w:val="24"/>
              </w:rPr>
              <w:t>14</w:t>
            </w:r>
          </w:p>
        </w:tc>
        <w:tc>
          <w:tcPr>
            <w:tcW w:w="1480" w:type="dxa"/>
            <w:hideMark/>
          </w:tcPr>
          <w:p w:rsidR="001C6149" w:rsidRPr="00694DA8" w:rsidRDefault="001C6149">
            <w:pPr>
              <w:rPr>
                <w:rFonts w:ascii="Arial" w:hAnsi="Arial" w:cs="Arial"/>
                <w:sz w:val="20"/>
                <w:szCs w:val="24"/>
              </w:rPr>
            </w:pPr>
          </w:p>
        </w:tc>
        <w:tc>
          <w:tcPr>
            <w:tcW w:w="1540" w:type="dxa"/>
            <w:noWrap/>
            <w:hideMark/>
          </w:tcPr>
          <w:p w:rsidR="001C6149" w:rsidRPr="00694DA8" w:rsidRDefault="001C6149">
            <w:pPr>
              <w:rPr>
                <w:rFonts w:ascii="Arial" w:hAnsi="Arial" w:cs="Arial"/>
                <w:b/>
                <w:bCs/>
                <w:sz w:val="20"/>
                <w:szCs w:val="24"/>
              </w:rPr>
            </w:pPr>
          </w:p>
        </w:tc>
      </w:tr>
      <w:tr w:rsidR="001C6149" w:rsidRPr="00694DA8" w:rsidTr="001C6149">
        <w:trPr>
          <w:trHeight w:val="300"/>
        </w:trPr>
        <w:tc>
          <w:tcPr>
            <w:tcW w:w="5680" w:type="dxa"/>
            <w:gridSpan w:val="4"/>
            <w:hideMark/>
          </w:tcPr>
          <w:p w:rsidR="001C6149" w:rsidRPr="00694DA8" w:rsidRDefault="001C6149">
            <w:pPr>
              <w:rPr>
                <w:rFonts w:ascii="Arial" w:hAnsi="Arial" w:cs="Arial"/>
                <w:sz w:val="20"/>
                <w:szCs w:val="24"/>
              </w:rPr>
            </w:pPr>
            <w:r w:rsidRPr="00694DA8">
              <w:rPr>
                <w:rFonts w:ascii="Arial" w:hAnsi="Arial" w:cs="Arial"/>
                <w:sz w:val="20"/>
                <w:szCs w:val="24"/>
              </w:rPr>
              <w:t>Avg. Time to Assign Reviewer (days) - </w:t>
            </w:r>
            <w:r w:rsidRPr="00694DA8">
              <w:rPr>
                <w:rFonts w:ascii="Arial" w:hAnsi="Arial" w:cs="Arial"/>
                <w:b/>
                <w:bCs/>
                <w:sz w:val="20"/>
                <w:szCs w:val="24"/>
              </w:rPr>
              <w:t>Original</w:t>
            </w:r>
          </w:p>
        </w:tc>
        <w:tc>
          <w:tcPr>
            <w:tcW w:w="1640" w:type="dxa"/>
            <w:hideMark/>
          </w:tcPr>
          <w:p w:rsidR="001C6149" w:rsidRPr="00694DA8" w:rsidRDefault="001C6149" w:rsidP="001C6149">
            <w:pPr>
              <w:rPr>
                <w:rFonts w:ascii="Arial" w:hAnsi="Arial" w:cs="Arial"/>
                <w:sz w:val="20"/>
                <w:szCs w:val="24"/>
              </w:rPr>
            </w:pPr>
            <w:r w:rsidRPr="00694DA8">
              <w:rPr>
                <w:rFonts w:ascii="Arial" w:hAnsi="Arial" w:cs="Arial"/>
                <w:sz w:val="20"/>
                <w:szCs w:val="24"/>
              </w:rPr>
              <w:t>5</w:t>
            </w:r>
          </w:p>
        </w:tc>
        <w:tc>
          <w:tcPr>
            <w:tcW w:w="1480" w:type="dxa"/>
            <w:hideMark/>
          </w:tcPr>
          <w:p w:rsidR="001C6149" w:rsidRPr="00694DA8" w:rsidRDefault="001C6149">
            <w:pPr>
              <w:rPr>
                <w:rFonts w:ascii="Arial" w:hAnsi="Arial" w:cs="Arial"/>
                <w:sz w:val="20"/>
                <w:szCs w:val="24"/>
              </w:rPr>
            </w:pPr>
          </w:p>
        </w:tc>
        <w:tc>
          <w:tcPr>
            <w:tcW w:w="1540" w:type="dxa"/>
            <w:noWrap/>
            <w:hideMark/>
          </w:tcPr>
          <w:p w:rsidR="001C6149" w:rsidRPr="00694DA8" w:rsidRDefault="001C6149">
            <w:pPr>
              <w:rPr>
                <w:rFonts w:ascii="Arial" w:hAnsi="Arial" w:cs="Arial"/>
                <w:b/>
                <w:bCs/>
                <w:sz w:val="20"/>
                <w:szCs w:val="24"/>
              </w:rPr>
            </w:pPr>
          </w:p>
        </w:tc>
      </w:tr>
      <w:tr w:rsidR="001C6149" w:rsidRPr="00694DA8" w:rsidTr="001C6149">
        <w:trPr>
          <w:trHeight w:val="300"/>
        </w:trPr>
        <w:tc>
          <w:tcPr>
            <w:tcW w:w="5680" w:type="dxa"/>
            <w:gridSpan w:val="4"/>
            <w:hideMark/>
          </w:tcPr>
          <w:p w:rsidR="001C6149" w:rsidRPr="00694DA8" w:rsidRDefault="001C6149">
            <w:pPr>
              <w:rPr>
                <w:rFonts w:ascii="Arial" w:hAnsi="Arial" w:cs="Arial"/>
                <w:sz w:val="20"/>
                <w:szCs w:val="24"/>
              </w:rPr>
            </w:pPr>
            <w:r w:rsidRPr="00694DA8">
              <w:rPr>
                <w:rFonts w:ascii="Arial" w:hAnsi="Arial" w:cs="Arial"/>
                <w:sz w:val="20"/>
                <w:szCs w:val="24"/>
              </w:rPr>
              <w:t>Avg. Time to Assign Reviewer (days) - </w:t>
            </w:r>
            <w:r w:rsidRPr="00694DA8">
              <w:rPr>
                <w:rFonts w:ascii="Arial" w:hAnsi="Arial" w:cs="Arial"/>
                <w:b/>
                <w:bCs/>
                <w:sz w:val="20"/>
                <w:szCs w:val="24"/>
              </w:rPr>
              <w:t>Revision</w:t>
            </w:r>
          </w:p>
        </w:tc>
        <w:tc>
          <w:tcPr>
            <w:tcW w:w="1640" w:type="dxa"/>
            <w:hideMark/>
          </w:tcPr>
          <w:p w:rsidR="001C6149" w:rsidRPr="00694DA8" w:rsidRDefault="001C6149" w:rsidP="001C6149">
            <w:pPr>
              <w:rPr>
                <w:rFonts w:ascii="Arial" w:hAnsi="Arial" w:cs="Arial"/>
                <w:sz w:val="20"/>
                <w:szCs w:val="24"/>
              </w:rPr>
            </w:pPr>
            <w:r w:rsidRPr="00694DA8">
              <w:rPr>
                <w:rFonts w:ascii="Arial" w:hAnsi="Arial" w:cs="Arial"/>
                <w:sz w:val="20"/>
                <w:szCs w:val="24"/>
              </w:rPr>
              <w:t>3</w:t>
            </w:r>
          </w:p>
        </w:tc>
        <w:tc>
          <w:tcPr>
            <w:tcW w:w="1480" w:type="dxa"/>
            <w:hideMark/>
          </w:tcPr>
          <w:p w:rsidR="001C6149" w:rsidRPr="00694DA8" w:rsidRDefault="001C6149">
            <w:pPr>
              <w:rPr>
                <w:rFonts w:ascii="Arial" w:hAnsi="Arial" w:cs="Arial"/>
                <w:sz w:val="20"/>
                <w:szCs w:val="24"/>
              </w:rPr>
            </w:pPr>
          </w:p>
        </w:tc>
        <w:tc>
          <w:tcPr>
            <w:tcW w:w="1540" w:type="dxa"/>
            <w:noWrap/>
            <w:hideMark/>
          </w:tcPr>
          <w:p w:rsidR="001C6149" w:rsidRPr="00694DA8" w:rsidRDefault="001C6149">
            <w:pPr>
              <w:rPr>
                <w:rFonts w:ascii="Arial" w:hAnsi="Arial" w:cs="Arial"/>
                <w:b/>
                <w:bCs/>
                <w:sz w:val="20"/>
                <w:szCs w:val="24"/>
              </w:rPr>
            </w:pPr>
          </w:p>
        </w:tc>
      </w:tr>
      <w:tr w:rsidR="001C6149" w:rsidRPr="00694DA8" w:rsidTr="001C6149">
        <w:trPr>
          <w:trHeight w:val="300"/>
        </w:trPr>
        <w:tc>
          <w:tcPr>
            <w:tcW w:w="5680" w:type="dxa"/>
            <w:gridSpan w:val="4"/>
            <w:hideMark/>
          </w:tcPr>
          <w:p w:rsidR="001C6149" w:rsidRPr="00694DA8" w:rsidRDefault="001C6149">
            <w:pPr>
              <w:rPr>
                <w:rFonts w:ascii="Arial" w:hAnsi="Arial" w:cs="Arial"/>
                <w:sz w:val="20"/>
                <w:szCs w:val="24"/>
              </w:rPr>
            </w:pPr>
            <w:r w:rsidRPr="00694DA8">
              <w:rPr>
                <w:rFonts w:ascii="Arial" w:hAnsi="Arial" w:cs="Arial"/>
                <w:sz w:val="20"/>
                <w:szCs w:val="24"/>
              </w:rPr>
              <w:t>Avg. days from submission to final decision</w:t>
            </w:r>
          </w:p>
        </w:tc>
        <w:tc>
          <w:tcPr>
            <w:tcW w:w="1640" w:type="dxa"/>
            <w:hideMark/>
          </w:tcPr>
          <w:p w:rsidR="001C6149" w:rsidRPr="00694DA8" w:rsidRDefault="001C6149" w:rsidP="001C6149">
            <w:pPr>
              <w:rPr>
                <w:rFonts w:ascii="Arial" w:hAnsi="Arial" w:cs="Arial"/>
                <w:sz w:val="20"/>
                <w:szCs w:val="24"/>
              </w:rPr>
            </w:pPr>
            <w:r w:rsidRPr="00694DA8">
              <w:rPr>
                <w:rFonts w:ascii="Arial" w:hAnsi="Arial" w:cs="Arial"/>
                <w:sz w:val="20"/>
                <w:szCs w:val="24"/>
              </w:rPr>
              <w:t>55</w:t>
            </w:r>
          </w:p>
        </w:tc>
        <w:tc>
          <w:tcPr>
            <w:tcW w:w="1480" w:type="dxa"/>
            <w:hideMark/>
          </w:tcPr>
          <w:p w:rsidR="001C6149" w:rsidRPr="00694DA8" w:rsidRDefault="001C6149">
            <w:pPr>
              <w:rPr>
                <w:rFonts w:ascii="Arial" w:hAnsi="Arial" w:cs="Arial"/>
                <w:sz w:val="20"/>
                <w:szCs w:val="24"/>
              </w:rPr>
            </w:pPr>
          </w:p>
        </w:tc>
        <w:tc>
          <w:tcPr>
            <w:tcW w:w="1540" w:type="dxa"/>
            <w:noWrap/>
            <w:hideMark/>
          </w:tcPr>
          <w:p w:rsidR="001C6149" w:rsidRPr="00694DA8" w:rsidRDefault="001C6149">
            <w:pPr>
              <w:rPr>
                <w:rFonts w:ascii="Arial" w:hAnsi="Arial" w:cs="Arial"/>
                <w:b/>
                <w:bCs/>
                <w:sz w:val="20"/>
                <w:szCs w:val="24"/>
              </w:rPr>
            </w:pPr>
          </w:p>
        </w:tc>
      </w:tr>
    </w:tbl>
    <w:p w:rsidR="00BB7048" w:rsidRPr="00694DA8" w:rsidRDefault="00BB7048" w:rsidP="00835513">
      <w:pPr>
        <w:rPr>
          <w:rFonts w:ascii="Arial" w:hAnsi="Arial" w:cs="Arial"/>
          <w:sz w:val="24"/>
          <w:szCs w:val="24"/>
        </w:rPr>
      </w:pPr>
    </w:p>
    <w:p w:rsidR="006C624B" w:rsidRPr="00694DA8" w:rsidRDefault="000D07CE" w:rsidP="00835513">
      <w:pPr>
        <w:rPr>
          <w:rFonts w:ascii="Arial" w:hAnsi="Arial" w:cs="Arial"/>
          <w:sz w:val="24"/>
          <w:szCs w:val="24"/>
        </w:rPr>
      </w:pPr>
      <w:hyperlink r:id="rId6" w:history="1">
        <w:r w:rsidR="006C624B" w:rsidRPr="00694DA8">
          <w:rPr>
            <w:rStyle w:val="Hyperlink"/>
            <w:rFonts w:ascii="Arial" w:hAnsi="Arial" w:cs="Arial"/>
            <w:sz w:val="24"/>
            <w:szCs w:val="24"/>
          </w:rPr>
          <w:t>http://www.scimagojr.com/journalsearch.php?q=15639&amp;tip=sid</w:t>
        </w:r>
      </w:hyperlink>
    </w:p>
    <w:p w:rsidR="00BB7048" w:rsidRPr="00694DA8" w:rsidRDefault="00BB7048" w:rsidP="00BB7048">
      <w:pPr>
        <w:rPr>
          <w:rFonts w:ascii="Arial" w:hAnsi="Arial" w:cs="Arial"/>
          <w:sz w:val="24"/>
          <w:szCs w:val="24"/>
        </w:rPr>
      </w:pPr>
      <w:r w:rsidRPr="00694DA8">
        <w:rPr>
          <w:rFonts w:ascii="Arial" w:hAnsi="Arial" w:cs="Arial"/>
          <w:sz w:val="24"/>
          <w:szCs w:val="24"/>
        </w:rPr>
        <w:t xml:space="preserve">We have noted an Increase in submissions coming from China and India.  As a result, we added an SAE to assist in better evaluating some of these papers.  Their science is quite good, but many struggle with English grammar/communication.  </w:t>
      </w:r>
    </w:p>
    <w:p w:rsidR="00BB7048" w:rsidRPr="00694DA8" w:rsidRDefault="00BB7048" w:rsidP="00BB7048">
      <w:pPr>
        <w:rPr>
          <w:rFonts w:ascii="Arial" w:hAnsi="Arial" w:cs="Arial"/>
          <w:sz w:val="24"/>
          <w:szCs w:val="24"/>
        </w:rPr>
      </w:pPr>
      <w:r w:rsidRPr="00694DA8">
        <w:rPr>
          <w:rFonts w:ascii="Arial" w:hAnsi="Arial" w:cs="Arial"/>
          <w:sz w:val="24"/>
          <w:szCs w:val="24"/>
        </w:rPr>
        <w:t xml:space="preserve">When responding to authors that are submitting manuscripts to AJ, and where English is not their native language, ASA recommends several web sites that can be used to improve their paper.  </w:t>
      </w:r>
    </w:p>
    <w:p w:rsidR="00BB7048" w:rsidRPr="00694DA8" w:rsidRDefault="000D07CE" w:rsidP="00BB7048">
      <w:pPr>
        <w:rPr>
          <w:rStyle w:val="Hyperlink"/>
          <w:rFonts w:ascii="Arial" w:hAnsi="Arial" w:cs="Arial"/>
          <w:sz w:val="24"/>
          <w:szCs w:val="24"/>
        </w:rPr>
      </w:pPr>
      <w:hyperlink r:id="rId7" w:history="1">
        <w:r w:rsidR="00BB7048" w:rsidRPr="00694DA8">
          <w:rPr>
            <w:rStyle w:val="Hyperlink"/>
            <w:rFonts w:ascii="Arial" w:hAnsi="Arial" w:cs="Arial"/>
            <w:sz w:val="24"/>
            <w:szCs w:val="24"/>
          </w:rPr>
          <w:t>https://www.agronomy.org/publications/language-help</w:t>
        </w:r>
      </w:hyperlink>
    </w:p>
    <w:p w:rsidR="00BB7048" w:rsidRPr="00694DA8" w:rsidRDefault="000D07CE" w:rsidP="00BB7048">
      <w:pPr>
        <w:rPr>
          <w:rFonts w:ascii="Arial" w:hAnsi="Arial" w:cs="Arial"/>
          <w:sz w:val="24"/>
          <w:szCs w:val="24"/>
        </w:rPr>
      </w:pPr>
      <w:hyperlink r:id="rId8" w:history="1">
        <w:r w:rsidR="00BB7048" w:rsidRPr="00694DA8">
          <w:rPr>
            <w:rStyle w:val="Hyperlink"/>
            <w:rFonts w:ascii="Arial" w:hAnsi="Arial" w:cs="Arial"/>
            <w:sz w:val="24"/>
            <w:szCs w:val="24"/>
          </w:rPr>
          <w:t>http://virtual.parkland.edu/walker102/punct.htm</w:t>
        </w:r>
      </w:hyperlink>
    </w:p>
    <w:p w:rsidR="00BB7048" w:rsidRPr="00694DA8" w:rsidRDefault="000D07CE" w:rsidP="00BB7048">
      <w:pPr>
        <w:rPr>
          <w:rFonts w:ascii="Arial" w:hAnsi="Arial" w:cs="Arial"/>
          <w:color w:val="0000FF" w:themeColor="hyperlink"/>
          <w:sz w:val="24"/>
          <w:szCs w:val="24"/>
          <w:u w:val="single"/>
        </w:rPr>
      </w:pPr>
      <w:hyperlink r:id="rId9" w:history="1">
        <w:r w:rsidR="00BB7048" w:rsidRPr="00694DA8">
          <w:rPr>
            <w:rStyle w:val="Hyperlink"/>
            <w:rFonts w:ascii="Arial" w:hAnsi="Arial" w:cs="Arial"/>
            <w:sz w:val="24"/>
            <w:szCs w:val="24"/>
          </w:rPr>
          <w:t>http://owl.english.purdue.edu/owl/</w:t>
        </w:r>
      </w:hyperlink>
    </w:p>
    <w:p w:rsidR="00BB7048" w:rsidRPr="00694DA8" w:rsidRDefault="00BB7048" w:rsidP="00BB7048">
      <w:pPr>
        <w:rPr>
          <w:rFonts w:ascii="Arial" w:hAnsi="Arial" w:cs="Arial"/>
          <w:sz w:val="24"/>
          <w:szCs w:val="24"/>
        </w:rPr>
      </w:pPr>
      <w:r w:rsidRPr="00694DA8">
        <w:rPr>
          <w:rFonts w:ascii="Arial" w:hAnsi="Arial" w:cs="Arial"/>
          <w:sz w:val="24"/>
          <w:szCs w:val="24"/>
        </w:rPr>
        <w:t xml:space="preserve">In addition to these web sites, we </w:t>
      </w:r>
      <w:r w:rsidR="00E04B2C">
        <w:rPr>
          <w:rFonts w:ascii="Arial" w:hAnsi="Arial" w:cs="Arial"/>
          <w:sz w:val="24"/>
          <w:szCs w:val="24"/>
        </w:rPr>
        <w:t xml:space="preserve">always </w:t>
      </w:r>
      <w:r w:rsidRPr="00694DA8">
        <w:rPr>
          <w:rFonts w:ascii="Arial" w:hAnsi="Arial" w:cs="Arial"/>
          <w:sz w:val="24"/>
          <w:szCs w:val="24"/>
        </w:rPr>
        <w:t>recommend that they review the ‘Instructions to Authors’ (</w:t>
      </w:r>
      <w:hyperlink r:id="rId10" w:history="1">
        <w:r w:rsidRPr="00694DA8">
          <w:rPr>
            <w:rStyle w:val="Hyperlink"/>
            <w:rFonts w:ascii="Arial" w:hAnsi="Arial" w:cs="Arial"/>
            <w:sz w:val="24"/>
            <w:szCs w:val="24"/>
          </w:rPr>
          <w:t>https://www.agronomy.org/files/publications/aj-instructions-author.pdf</w:t>
        </w:r>
      </w:hyperlink>
      <w:r w:rsidR="00E04B2C">
        <w:rPr>
          <w:rFonts w:ascii="Arial" w:hAnsi="Arial" w:cs="Arial"/>
          <w:sz w:val="24"/>
          <w:szCs w:val="24"/>
        </w:rPr>
        <w:t xml:space="preserve">).  This has been available on-line for some time, and that we will edit following board approval of changes in how we bill authors. </w:t>
      </w:r>
    </w:p>
    <w:p w:rsidR="00BB7048" w:rsidRPr="00694DA8" w:rsidRDefault="00BB7048" w:rsidP="00835513">
      <w:pPr>
        <w:rPr>
          <w:rFonts w:ascii="Arial" w:hAnsi="Arial" w:cs="Arial"/>
          <w:sz w:val="24"/>
          <w:szCs w:val="24"/>
        </w:rPr>
      </w:pPr>
    </w:p>
    <w:p w:rsidR="00BB7048" w:rsidRPr="00694DA8" w:rsidRDefault="00BB7048" w:rsidP="00835513">
      <w:pPr>
        <w:rPr>
          <w:rFonts w:ascii="Arial" w:hAnsi="Arial" w:cs="Arial"/>
          <w:sz w:val="24"/>
          <w:szCs w:val="24"/>
        </w:rPr>
      </w:pPr>
    </w:p>
    <w:p w:rsidR="00BB7048" w:rsidRPr="00694DA8" w:rsidRDefault="00BB7048" w:rsidP="00835513">
      <w:pPr>
        <w:rPr>
          <w:rFonts w:ascii="Arial" w:hAnsi="Arial" w:cs="Arial"/>
          <w:sz w:val="24"/>
          <w:szCs w:val="24"/>
        </w:rPr>
      </w:pPr>
    </w:p>
    <w:p w:rsidR="006C624B" w:rsidRPr="00694DA8" w:rsidRDefault="00496013" w:rsidP="00835513">
      <w:pPr>
        <w:rPr>
          <w:rFonts w:ascii="Arial" w:hAnsi="Arial" w:cs="Arial"/>
          <w:sz w:val="24"/>
          <w:szCs w:val="24"/>
        </w:rPr>
      </w:pPr>
      <w:r w:rsidRPr="00694DA8">
        <w:rPr>
          <w:rFonts w:ascii="Arial" w:hAnsi="Arial" w:cs="Arial"/>
          <w:noProof/>
          <w:sz w:val="24"/>
          <w:szCs w:val="24"/>
        </w:rPr>
        <w:lastRenderedPageBreak/>
        <w:drawing>
          <wp:inline distT="0" distB="0" distL="0" distR="0" wp14:anchorId="246BD998" wp14:editId="58875DEE">
            <wp:extent cx="485775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96013" w:rsidRPr="00694DA8" w:rsidRDefault="00496013" w:rsidP="00835513">
      <w:pPr>
        <w:rPr>
          <w:rFonts w:ascii="Arial" w:hAnsi="Arial" w:cs="Arial"/>
          <w:sz w:val="24"/>
          <w:szCs w:val="24"/>
        </w:rPr>
      </w:pPr>
      <w:proofErr w:type="gramStart"/>
      <w:r w:rsidRPr="00694DA8">
        <w:rPr>
          <w:rFonts w:ascii="Arial" w:hAnsi="Arial" w:cs="Arial"/>
          <w:sz w:val="24"/>
          <w:szCs w:val="24"/>
        </w:rPr>
        <w:t>Figure 1.</w:t>
      </w:r>
      <w:proofErr w:type="gramEnd"/>
      <w:r w:rsidRPr="00694DA8">
        <w:rPr>
          <w:rFonts w:ascii="Arial" w:hAnsi="Arial" w:cs="Arial"/>
          <w:sz w:val="24"/>
          <w:szCs w:val="24"/>
        </w:rPr>
        <w:t xml:space="preserve">  Manuscripts submitted to Agronomy Journal, and percent accepted from 2002 to 2011.  </w:t>
      </w:r>
    </w:p>
    <w:p w:rsidR="00496013" w:rsidRPr="00694DA8" w:rsidRDefault="00496013" w:rsidP="00835513">
      <w:pPr>
        <w:rPr>
          <w:rFonts w:ascii="Arial" w:hAnsi="Arial" w:cs="Arial"/>
          <w:sz w:val="24"/>
          <w:szCs w:val="24"/>
        </w:rPr>
      </w:pPr>
    </w:p>
    <w:p w:rsidR="00496013" w:rsidRPr="00694DA8" w:rsidRDefault="00496013" w:rsidP="00835513">
      <w:pPr>
        <w:rPr>
          <w:rFonts w:ascii="Arial" w:hAnsi="Arial" w:cs="Arial"/>
          <w:sz w:val="24"/>
          <w:szCs w:val="24"/>
        </w:rPr>
      </w:pPr>
      <w:r w:rsidRPr="00694DA8">
        <w:rPr>
          <w:rFonts w:ascii="Arial" w:hAnsi="Arial" w:cs="Arial"/>
          <w:noProof/>
          <w:sz w:val="24"/>
          <w:szCs w:val="24"/>
        </w:rPr>
        <w:drawing>
          <wp:inline distT="0" distB="0" distL="0" distR="0" wp14:anchorId="5C2B58C3" wp14:editId="05F920DD">
            <wp:extent cx="485775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96013" w:rsidRPr="00694DA8" w:rsidRDefault="00496013" w:rsidP="00835513">
      <w:pPr>
        <w:rPr>
          <w:rFonts w:ascii="Arial" w:hAnsi="Arial" w:cs="Arial"/>
          <w:sz w:val="24"/>
          <w:szCs w:val="24"/>
        </w:rPr>
      </w:pPr>
      <w:proofErr w:type="gramStart"/>
      <w:r w:rsidRPr="00694DA8">
        <w:rPr>
          <w:rFonts w:ascii="Arial" w:hAnsi="Arial" w:cs="Arial"/>
          <w:sz w:val="24"/>
          <w:szCs w:val="24"/>
        </w:rPr>
        <w:t>Figure 2.</w:t>
      </w:r>
      <w:proofErr w:type="gramEnd"/>
      <w:r w:rsidRPr="00694DA8">
        <w:rPr>
          <w:rFonts w:ascii="Arial" w:hAnsi="Arial" w:cs="Arial"/>
          <w:sz w:val="24"/>
          <w:szCs w:val="24"/>
        </w:rPr>
        <w:t xml:space="preserve"> International and USA submissions to Agronomy Journal and the associated impact factor from 2002 to 2011.  </w:t>
      </w:r>
    </w:p>
    <w:p w:rsidR="00496013" w:rsidRPr="00694DA8" w:rsidRDefault="00496013" w:rsidP="00835513">
      <w:pPr>
        <w:rPr>
          <w:rFonts w:ascii="Arial" w:hAnsi="Arial" w:cs="Arial"/>
          <w:sz w:val="24"/>
          <w:szCs w:val="24"/>
        </w:rPr>
      </w:pPr>
    </w:p>
    <w:p w:rsidR="00A34C47" w:rsidRPr="00694DA8" w:rsidRDefault="00A34C47" w:rsidP="00835513">
      <w:pPr>
        <w:rPr>
          <w:rFonts w:ascii="Arial" w:hAnsi="Arial" w:cs="Arial"/>
          <w:sz w:val="24"/>
          <w:szCs w:val="24"/>
        </w:rPr>
      </w:pPr>
    </w:p>
    <w:sectPr w:rsidR="00A34C47" w:rsidRPr="00694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C47"/>
    <w:rsid w:val="00045488"/>
    <w:rsid w:val="0004574A"/>
    <w:rsid w:val="000D07CE"/>
    <w:rsid w:val="000F0773"/>
    <w:rsid w:val="00134748"/>
    <w:rsid w:val="001C6149"/>
    <w:rsid w:val="00270493"/>
    <w:rsid w:val="00301AB6"/>
    <w:rsid w:val="003420A9"/>
    <w:rsid w:val="003F05BC"/>
    <w:rsid w:val="00496013"/>
    <w:rsid w:val="005111A2"/>
    <w:rsid w:val="0060701B"/>
    <w:rsid w:val="0064106E"/>
    <w:rsid w:val="0064200E"/>
    <w:rsid w:val="00694DA8"/>
    <w:rsid w:val="006C624B"/>
    <w:rsid w:val="00835513"/>
    <w:rsid w:val="00A34C47"/>
    <w:rsid w:val="00B01107"/>
    <w:rsid w:val="00B064FE"/>
    <w:rsid w:val="00B47D09"/>
    <w:rsid w:val="00BB7048"/>
    <w:rsid w:val="00E04B2C"/>
    <w:rsid w:val="00F11852"/>
    <w:rsid w:val="00F915FE"/>
    <w:rsid w:val="00FA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5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74A"/>
    <w:rPr>
      <w:color w:val="0000FF" w:themeColor="hyperlink"/>
      <w:u w:val="single"/>
    </w:rPr>
  </w:style>
  <w:style w:type="table" w:styleId="TableGrid">
    <w:name w:val="Table Grid"/>
    <w:basedOn w:val="TableNormal"/>
    <w:uiPriority w:val="59"/>
    <w:rsid w:val="001C61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6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013"/>
    <w:rPr>
      <w:rFonts w:ascii="Tahoma" w:hAnsi="Tahoma" w:cs="Tahoma"/>
      <w:sz w:val="16"/>
      <w:szCs w:val="16"/>
    </w:rPr>
  </w:style>
  <w:style w:type="character" w:styleId="FollowedHyperlink">
    <w:name w:val="FollowedHyperlink"/>
    <w:basedOn w:val="DefaultParagraphFont"/>
    <w:uiPriority w:val="99"/>
    <w:semiHidden/>
    <w:unhideWhenUsed/>
    <w:rsid w:val="00E04B2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5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74A"/>
    <w:rPr>
      <w:color w:val="0000FF" w:themeColor="hyperlink"/>
      <w:u w:val="single"/>
    </w:rPr>
  </w:style>
  <w:style w:type="table" w:styleId="TableGrid">
    <w:name w:val="Table Grid"/>
    <w:basedOn w:val="TableNormal"/>
    <w:uiPriority w:val="59"/>
    <w:rsid w:val="001C61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6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013"/>
    <w:rPr>
      <w:rFonts w:ascii="Tahoma" w:hAnsi="Tahoma" w:cs="Tahoma"/>
      <w:sz w:val="16"/>
      <w:szCs w:val="16"/>
    </w:rPr>
  </w:style>
  <w:style w:type="character" w:styleId="FollowedHyperlink">
    <w:name w:val="FollowedHyperlink"/>
    <w:basedOn w:val="DefaultParagraphFont"/>
    <w:uiPriority w:val="99"/>
    <w:semiHidden/>
    <w:unhideWhenUsed/>
    <w:rsid w:val="00E04B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rtual.parkland.edu/walker102/punc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gronomy.org/publications/language-help" TargetMode="External"/><Relationship Id="rId12" Type="http://schemas.openxmlformats.org/officeDocument/2006/relationships/chart" Target="charts/chart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cimagojr.com/journalsearch.php?q=15639&amp;tip=sid" TargetMode="External"/><Relationship Id="rId11" Type="http://schemas.openxmlformats.org/officeDocument/2006/relationships/chart" Target="charts/chart1.xml"/><Relationship Id="rId5" Type="http://schemas.openxmlformats.org/officeDocument/2006/relationships/image" Target="media/image1.jpg"/><Relationship Id="rId10" Type="http://schemas.openxmlformats.org/officeDocument/2006/relationships/hyperlink" Target="https://www.agronomy.org/files/publications/aj-instructions-author.pdf" TargetMode="External"/><Relationship Id="rId4" Type="http://schemas.openxmlformats.org/officeDocument/2006/relationships/webSettings" Target="webSettings.xml"/><Relationship Id="rId9" Type="http://schemas.openxmlformats.org/officeDocument/2006/relationships/hyperlink" Target="http://owl.english.purdue.edu/owl/"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ASA_Editor2012\SAE%20AJ%20Workload%20-%20Running%20Tot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ASA_Editor2012\SAE%20AJ%20Workload%20-%20Running%20Tot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1423539704595749"/>
          <c:y val="2.8252405949256341E-2"/>
          <c:w val="0.7899011373578303"/>
          <c:h val="0.83629994167395738"/>
        </c:manualLayout>
      </c:layout>
      <c:scatterChart>
        <c:scatterStyle val="lineMarker"/>
        <c:varyColors val="0"/>
        <c:ser>
          <c:idx val="0"/>
          <c:order val="0"/>
          <c:tx>
            <c:strRef>
              <c:f>Issues!$C$20</c:f>
              <c:strCache>
                <c:ptCount val="1"/>
                <c:pt idx="0">
                  <c:v>Tot. Submitted</c:v>
                </c:pt>
              </c:strCache>
            </c:strRef>
          </c:tx>
          <c:spPr>
            <a:ln w="47625">
              <a:noFill/>
            </a:ln>
          </c:spPr>
          <c:xVal>
            <c:numRef>
              <c:f>Issues!$B$21:$B$30</c:f>
              <c:numCache>
                <c:formatCode>General</c:formatCode>
                <c:ptCount val="10"/>
                <c:pt idx="0">
                  <c:v>2002</c:v>
                </c:pt>
                <c:pt idx="1">
                  <c:v>2003</c:v>
                </c:pt>
                <c:pt idx="2">
                  <c:v>2004</c:v>
                </c:pt>
                <c:pt idx="3">
                  <c:v>2005</c:v>
                </c:pt>
                <c:pt idx="4">
                  <c:v>2006</c:v>
                </c:pt>
                <c:pt idx="5">
                  <c:v>2007</c:v>
                </c:pt>
                <c:pt idx="6">
                  <c:v>2008</c:v>
                </c:pt>
                <c:pt idx="7">
                  <c:v>2009</c:v>
                </c:pt>
                <c:pt idx="8">
                  <c:v>2010</c:v>
                </c:pt>
                <c:pt idx="9">
                  <c:v>2011</c:v>
                </c:pt>
              </c:numCache>
            </c:numRef>
          </c:xVal>
          <c:yVal>
            <c:numRef>
              <c:f>Issues!$C$21:$C$30</c:f>
              <c:numCache>
                <c:formatCode>General</c:formatCode>
                <c:ptCount val="10"/>
                <c:pt idx="0">
                  <c:v>328</c:v>
                </c:pt>
                <c:pt idx="1">
                  <c:v>328</c:v>
                </c:pt>
                <c:pt idx="2">
                  <c:v>324</c:v>
                </c:pt>
                <c:pt idx="3">
                  <c:v>362</c:v>
                </c:pt>
                <c:pt idx="4">
                  <c:v>373</c:v>
                </c:pt>
                <c:pt idx="5">
                  <c:v>415</c:v>
                </c:pt>
                <c:pt idx="6">
                  <c:v>437</c:v>
                </c:pt>
                <c:pt idx="7">
                  <c:v>497</c:v>
                </c:pt>
                <c:pt idx="8">
                  <c:v>521</c:v>
                </c:pt>
                <c:pt idx="9">
                  <c:v>424</c:v>
                </c:pt>
              </c:numCache>
            </c:numRef>
          </c:yVal>
          <c:smooth val="0"/>
        </c:ser>
        <c:ser>
          <c:idx val="1"/>
          <c:order val="1"/>
          <c:tx>
            <c:strRef>
              <c:f>Issues!$E$20</c:f>
              <c:strCache>
                <c:ptCount val="1"/>
                <c:pt idx="0">
                  <c:v>Published</c:v>
                </c:pt>
              </c:strCache>
            </c:strRef>
          </c:tx>
          <c:spPr>
            <a:ln w="47625">
              <a:noFill/>
            </a:ln>
          </c:spPr>
          <c:xVal>
            <c:numRef>
              <c:f>Issues!$B$21:$B$30</c:f>
              <c:numCache>
                <c:formatCode>General</c:formatCode>
                <c:ptCount val="10"/>
                <c:pt idx="0">
                  <c:v>2002</c:v>
                </c:pt>
                <c:pt idx="1">
                  <c:v>2003</c:v>
                </c:pt>
                <c:pt idx="2">
                  <c:v>2004</c:v>
                </c:pt>
                <c:pt idx="3">
                  <c:v>2005</c:v>
                </c:pt>
                <c:pt idx="4">
                  <c:v>2006</c:v>
                </c:pt>
                <c:pt idx="5">
                  <c:v>2007</c:v>
                </c:pt>
                <c:pt idx="6">
                  <c:v>2008</c:v>
                </c:pt>
                <c:pt idx="7">
                  <c:v>2009</c:v>
                </c:pt>
                <c:pt idx="8">
                  <c:v>2010</c:v>
                </c:pt>
                <c:pt idx="9">
                  <c:v>2011</c:v>
                </c:pt>
              </c:numCache>
            </c:numRef>
          </c:xVal>
          <c:yVal>
            <c:numRef>
              <c:f>Issues!$E$21:$E$30</c:f>
              <c:numCache>
                <c:formatCode>General</c:formatCode>
                <c:ptCount val="10"/>
                <c:pt idx="0">
                  <c:v>165</c:v>
                </c:pt>
                <c:pt idx="1">
                  <c:v>184</c:v>
                </c:pt>
                <c:pt idx="2">
                  <c:v>208</c:v>
                </c:pt>
                <c:pt idx="3">
                  <c:v>188</c:v>
                </c:pt>
                <c:pt idx="4">
                  <c:v>194</c:v>
                </c:pt>
                <c:pt idx="5">
                  <c:v>203</c:v>
                </c:pt>
                <c:pt idx="6">
                  <c:v>253</c:v>
                </c:pt>
                <c:pt idx="7">
                  <c:v>184</c:v>
                </c:pt>
                <c:pt idx="8">
                  <c:v>206</c:v>
                </c:pt>
                <c:pt idx="9">
                  <c:v>215</c:v>
                </c:pt>
              </c:numCache>
            </c:numRef>
          </c:yVal>
          <c:smooth val="0"/>
        </c:ser>
        <c:dLbls>
          <c:showLegendKey val="0"/>
          <c:showVal val="0"/>
          <c:showCatName val="0"/>
          <c:showSerName val="0"/>
          <c:showPercent val="0"/>
          <c:showBubbleSize val="0"/>
        </c:dLbls>
        <c:axId val="129966464"/>
        <c:axId val="129968384"/>
      </c:scatterChart>
      <c:scatterChart>
        <c:scatterStyle val="lineMarker"/>
        <c:varyColors val="0"/>
        <c:ser>
          <c:idx val="2"/>
          <c:order val="2"/>
          <c:tx>
            <c:strRef>
              <c:f>Issues!$F$20</c:f>
              <c:strCache>
                <c:ptCount val="1"/>
                <c:pt idx="0">
                  <c:v>% Accepted</c:v>
                </c:pt>
              </c:strCache>
            </c:strRef>
          </c:tx>
          <c:spPr>
            <a:ln w="47625">
              <a:noFill/>
            </a:ln>
          </c:spPr>
          <c:xVal>
            <c:numRef>
              <c:f>Issues!$B$21:$B$30</c:f>
              <c:numCache>
                <c:formatCode>General</c:formatCode>
                <c:ptCount val="10"/>
                <c:pt idx="0">
                  <c:v>2002</c:v>
                </c:pt>
                <c:pt idx="1">
                  <c:v>2003</c:v>
                </c:pt>
                <c:pt idx="2">
                  <c:v>2004</c:v>
                </c:pt>
                <c:pt idx="3">
                  <c:v>2005</c:v>
                </c:pt>
                <c:pt idx="4">
                  <c:v>2006</c:v>
                </c:pt>
                <c:pt idx="5">
                  <c:v>2007</c:v>
                </c:pt>
                <c:pt idx="6">
                  <c:v>2008</c:v>
                </c:pt>
                <c:pt idx="7">
                  <c:v>2009</c:v>
                </c:pt>
                <c:pt idx="8">
                  <c:v>2010</c:v>
                </c:pt>
                <c:pt idx="9">
                  <c:v>2011</c:v>
                </c:pt>
              </c:numCache>
            </c:numRef>
          </c:xVal>
          <c:yVal>
            <c:numRef>
              <c:f>Issues!$F$21:$F$30</c:f>
              <c:numCache>
                <c:formatCode>0.0</c:formatCode>
                <c:ptCount val="10"/>
                <c:pt idx="0">
                  <c:v>50.304878048780488</c:v>
                </c:pt>
                <c:pt idx="1">
                  <c:v>56.09756097560976</c:v>
                </c:pt>
                <c:pt idx="2">
                  <c:v>64.197530864197532</c:v>
                </c:pt>
                <c:pt idx="3">
                  <c:v>51.933701657458563</c:v>
                </c:pt>
                <c:pt idx="4">
                  <c:v>52.010723860589813</c:v>
                </c:pt>
                <c:pt idx="5">
                  <c:v>48.915662650602407</c:v>
                </c:pt>
                <c:pt idx="6">
                  <c:v>57.894736842105267</c:v>
                </c:pt>
                <c:pt idx="7">
                  <c:v>37.022132796780681</c:v>
                </c:pt>
                <c:pt idx="8">
                  <c:v>39.539347408829173</c:v>
                </c:pt>
                <c:pt idx="9">
                  <c:v>50.70754716981132</c:v>
                </c:pt>
              </c:numCache>
            </c:numRef>
          </c:yVal>
          <c:smooth val="0"/>
        </c:ser>
        <c:dLbls>
          <c:showLegendKey val="0"/>
          <c:showVal val="0"/>
          <c:showCatName val="0"/>
          <c:showSerName val="0"/>
          <c:showPercent val="0"/>
          <c:showBubbleSize val="0"/>
        </c:dLbls>
        <c:axId val="129976576"/>
        <c:axId val="129974656"/>
      </c:scatterChart>
      <c:valAx>
        <c:axId val="129966464"/>
        <c:scaling>
          <c:orientation val="minMax"/>
          <c:max val="2012"/>
          <c:min val="2001"/>
        </c:scaling>
        <c:delete val="0"/>
        <c:axPos val="b"/>
        <c:title>
          <c:tx>
            <c:rich>
              <a:bodyPr/>
              <a:lstStyle/>
              <a:p>
                <a:pPr>
                  <a:defRPr/>
                </a:pPr>
                <a:r>
                  <a:rPr lang="en-US"/>
                  <a:t>Year</a:t>
                </a:r>
              </a:p>
            </c:rich>
          </c:tx>
          <c:overlay val="0"/>
        </c:title>
        <c:numFmt formatCode="General" sourceLinked="1"/>
        <c:majorTickMark val="out"/>
        <c:minorTickMark val="none"/>
        <c:tickLblPos val="nextTo"/>
        <c:crossAx val="129968384"/>
        <c:crosses val="autoZero"/>
        <c:crossBetween val="midCat"/>
      </c:valAx>
      <c:valAx>
        <c:axId val="129968384"/>
        <c:scaling>
          <c:orientation val="minMax"/>
        </c:scaling>
        <c:delete val="0"/>
        <c:axPos val="l"/>
        <c:title>
          <c:tx>
            <c:rich>
              <a:bodyPr rot="-5400000" vert="horz"/>
              <a:lstStyle/>
              <a:p>
                <a:pPr>
                  <a:defRPr/>
                </a:pPr>
                <a:r>
                  <a:rPr lang="en-US"/>
                  <a:t>Manuscripts</a:t>
                </a:r>
              </a:p>
            </c:rich>
          </c:tx>
          <c:overlay val="0"/>
        </c:title>
        <c:numFmt formatCode="General" sourceLinked="1"/>
        <c:majorTickMark val="out"/>
        <c:minorTickMark val="none"/>
        <c:tickLblPos val="nextTo"/>
        <c:crossAx val="129966464"/>
        <c:crosses val="autoZero"/>
        <c:crossBetween val="midCat"/>
      </c:valAx>
      <c:valAx>
        <c:axId val="129974656"/>
        <c:scaling>
          <c:orientation val="minMax"/>
          <c:max val="100"/>
        </c:scaling>
        <c:delete val="0"/>
        <c:axPos val="r"/>
        <c:title>
          <c:tx>
            <c:rich>
              <a:bodyPr rot="-5400000" vert="horz"/>
              <a:lstStyle/>
              <a:p>
                <a:pPr>
                  <a:defRPr/>
                </a:pPr>
                <a:r>
                  <a:rPr lang="en-US"/>
                  <a:t>Percent</a:t>
                </a:r>
                <a:r>
                  <a:rPr lang="en-US" baseline="0"/>
                  <a:t> Accepted</a:t>
                </a:r>
                <a:endParaRPr lang="en-US"/>
              </a:p>
            </c:rich>
          </c:tx>
          <c:overlay val="0"/>
        </c:title>
        <c:numFmt formatCode="0" sourceLinked="0"/>
        <c:majorTickMark val="out"/>
        <c:minorTickMark val="none"/>
        <c:tickLblPos val="nextTo"/>
        <c:crossAx val="129976576"/>
        <c:crosses val="max"/>
        <c:crossBetween val="midCat"/>
      </c:valAx>
      <c:valAx>
        <c:axId val="129976576"/>
        <c:scaling>
          <c:orientation val="minMax"/>
        </c:scaling>
        <c:delete val="1"/>
        <c:axPos val="b"/>
        <c:numFmt formatCode="General" sourceLinked="1"/>
        <c:majorTickMark val="out"/>
        <c:minorTickMark val="none"/>
        <c:tickLblPos val="nextTo"/>
        <c:crossAx val="129974656"/>
        <c:crosses val="autoZero"/>
        <c:crossBetween val="midCat"/>
      </c:valAx>
    </c:plotArea>
    <c:legend>
      <c:legendPos val="r"/>
      <c:layout>
        <c:manualLayout>
          <c:xMode val="edge"/>
          <c:yMode val="edge"/>
          <c:x val="0.13444763522206782"/>
          <c:y val="8.8754009915427267E-3"/>
          <c:w val="0.20407760794606555"/>
          <c:h val="0.25578120443277924"/>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1423534558180228"/>
          <c:y val="2.8252405949256341E-2"/>
          <c:w val="0.7899011373578303"/>
          <c:h val="0.83167031204432784"/>
        </c:manualLayout>
      </c:layout>
      <c:scatterChart>
        <c:scatterStyle val="lineMarker"/>
        <c:varyColors val="0"/>
        <c:ser>
          <c:idx val="0"/>
          <c:order val="0"/>
          <c:tx>
            <c:strRef>
              <c:f>Issues!$C$20</c:f>
              <c:strCache>
                <c:ptCount val="1"/>
                <c:pt idx="0">
                  <c:v>Tot. Submitted</c:v>
                </c:pt>
              </c:strCache>
            </c:strRef>
          </c:tx>
          <c:spPr>
            <a:ln w="47625">
              <a:noFill/>
            </a:ln>
          </c:spPr>
          <c:xVal>
            <c:numRef>
              <c:f>Issues!$B$21:$B$30</c:f>
              <c:numCache>
                <c:formatCode>General</c:formatCode>
                <c:ptCount val="10"/>
                <c:pt idx="0">
                  <c:v>2002</c:v>
                </c:pt>
                <c:pt idx="1">
                  <c:v>2003</c:v>
                </c:pt>
                <c:pt idx="2">
                  <c:v>2004</c:v>
                </c:pt>
                <c:pt idx="3">
                  <c:v>2005</c:v>
                </c:pt>
                <c:pt idx="4">
                  <c:v>2006</c:v>
                </c:pt>
                <c:pt idx="5">
                  <c:v>2007</c:v>
                </c:pt>
                <c:pt idx="6">
                  <c:v>2008</c:v>
                </c:pt>
                <c:pt idx="7">
                  <c:v>2009</c:v>
                </c:pt>
                <c:pt idx="8">
                  <c:v>2010</c:v>
                </c:pt>
                <c:pt idx="9">
                  <c:v>2011</c:v>
                </c:pt>
              </c:numCache>
            </c:numRef>
          </c:xVal>
          <c:yVal>
            <c:numRef>
              <c:f>Issues!$C$21:$C$30</c:f>
              <c:numCache>
                <c:formatCode>General</c:formatCode>
                <c:ptCount val="10"/>
                <c:pt idx="0">
                  <c:v>328</c:v>
                </c:pt>
                <c:pt idx="1">
                  <c:v>328</c:v>
                </c:pt>
                <c:pt idx="2">
                  <c:v>324</c:v>
                </c:pt>
                <c:pt idx="3">
                  <c:v>362</c:v>
                </c:pt>
                <c:pt idx="4">
                  <c:v>373</c:v>
                </c:pt>
                <c:pt idx="5">
                  <c:v>415</c:v>
                </c:pt>
                <c:pt idx="6">
                  <c:v>437</c:v>
                </c:pt>
                <c:pt idx="7">
                  <c:v>497</c:v>
                </c:pt>
                <c:pt idx="8">
                  <c:v>521</c:v>
                </c:pt>
                <c:pt idx="9">
                  <c:v>424</c:v>
                </c:pt>
              </c:numCache>
            </c:numRef>
          </c:yVal>
          <c:smooth val="0"/>
        </c:ser>
        <c:ser>
          <c:idx val="1"/>
          <c:order val="1"/>
          <c:tx>
            <c:strRef>
              <c:f>Issues!$D$20</c:f>
              <c:strCache>
                <c:ptCount val="1"/>
                <c:pt idx="0">
                  <c:v>International</c:v>
                </c:pt>
              </c:strCache>
            </c:strRef>
          </c:tx>
          <c:spPr>
            <a:ln w="47625">
              <a:noFill/>
            </a:ln>
          </c:spPr>
          <c:xVal>
            <c:numRef>
              <c:f>Issues!$B$21:$B$30</c:f>
              <c:numCache>
                <c:formatCode>General</c:formatCode>
                <c:ptCount val="10"/>
                <c:pt idx="0">
                  <c:v>2002</c:v>
                </c:pt>
                <c:pt idx="1">
                  <c:v>2003</c:v>
                </c:pt>
                <c:pt idx="2">
                  <c:v>2004</c:v>
                </c:pt>
                <c:pt idx="3">
                  <c:v>2005</c:v>
                </c:pt>
                <c:pt idx="4">
                  <c:v>2006</c:v>
                </c:pt>
                <c:pt idx="5">
                  <c:v>2007</c:v>
                </c:pt>
                <c:pt idx="6">
                  <c:v>2008</c:v>
                </c:pt>
                <c:pt idx="7">
                  <c:v>2009</c:v>
                </c:pt>
                <c:pt idx="8">
                  <c:v>2010</c:v>
                </c:pt>
                <c:pt idx="9">
                  <c:v>2011</c:v>
                </c:pt>
              </c:numCache>
            </c:numRef>
          </c:xVal>
          <c:yVal>
            <c:numRef>
              <c:f>Issues!$D$21:$D$30</c:f>
              <c:numCache>
                <c:formatCode>General</c:formatCode>
                <c:ptCount val="10"/>
                <c:pt idx="1">
                  <c:v>102</c:v>
                </c:pt>
                <c:pt idx="2">
                  <c:v>97</c:v>
                </c:pt>
                <c:pt idx="3">
                  <c:v>143</c:v>
                </c:pt>
                <c:pt idx="4">
                  <c:v>150</c:v>
                </c:pt>
                <c:pt idx="5">
                  <c:v>168</c:v>
                </c:pt>
                <c:pt idx="7">
                  <c:v>238</c:v>
                </c:pt>
                <c:pt idx="8">
                  <c:v>262</c:v>
                </c:pt>
                <c:pt idx="9">
                  <c:v>217</c:v>
                </c:pt>
              </c:numCache>
            </c:numRef>
          </c:yVal>
          <c:smooth val="0"/>
        </c:ser>
        <c:ser>
          <c:idx val="3"/>
          <c:order val="3"/>
          <c:tx>
            <c:strRef>
              <c:f>Issues!$O$20</c:f>
              <c:strCache>
                <c:ptCount val="1"/>
                <c:pt idx="0">
                  <c:v>USA</c:v>
                </c:pt>
              </c:strCache>
            </c:strRef>
          </c:tx>
          <c:spPr>
            <a:ln w="47625">
              <a:noFill/>
            </a:ln>
          </c:spPr>
          <c:marker>
            <c:symbol val="circle"/>
            <c:size val="8"/>
            <c:spPr>
              <a:solidFill>
                <a:srgbClr val="FFFF00"/>
              </a:solidFill>
            </c:spPr>
          </c:marker>
          <c:xVal>
            <c:numRef>
              <c:f>Issues!$B$21:$B$30</c:f>
              <c:numCache>
                <c:formatCode>General</c:formatCode>
                <c:ptCount val="10"/>
                <c:pt idx="0">
                  <c:v>2002</c:v>
                </c:pt>
                <c:pt idx="1">
                  <c:v>2003</c:v>
                </c:pt>
                <c:pt idx="2">
                  <c:v>2004</c:v>
                </c:pt>
                <c:pt idx="3">
                  <c:v>2005</c:v>
                </c:pt>
                <c:pt idx="4">
                  <c:v>2006</c:v>
                </c:pt>
                <c:pt idx="5">
                  <c:v>2007</c:v>
                </c:pt>
                <c:pt idx="6">
                  <c:v>2008</c:v>
                </c:pt>
                <c:pt idx="7">
                  <c:v>2009</c:v>
                </c:pt>
                <c:pt idx="8">
                  <c:v>2010</c:v>
                </c:pt>
                <c:pt idx="9">
                  <c:v>2011</c:v>
                </c:pt>
              </c:numCache>
            </c:numRef>
          </c:xVal>
          <c:yVal>
            <c:numRef>
              <c:f>Issues!$O$21:$O$30</c:f>
              <c:numCache>
                <c:formatCode>General</c:formatCode>
                <c:ptCount val="10"/>
                <c:pt idx="1">
                  <c:v>226</c:v>
                </c:pt>
                <c:pt idx="2">
                  <c:v>227</c:v>
                </c:pt>
                <c:pt idx="3">
                  <c:v>219</c:v>
                </c:pt>
                <c:pt idx="4">
                  <c:v>223</c:v>
                </c:pt>
                <c:pt idx="5">
                  <c:v>247</c:v>
                </c:pt>
                <c:pt idx="7">
                  <c:v>259</c:v>
                </c:pt>
                <c:pt idx="8">
                  <c:v>259</c:v>
                </c:pt>
                <c:pt idx="9">
                  <c:v>207</c:v>
                </c:pt>
              </c:numCache>
            </c:numRef>
          </c:yVal>
          <c:smooth val="0"/>
        </c:ser>
        <c:dLbls>
          <c:showLegendKey val="0"/>
          <c:showVal val="0"/>
          <c:showCatName val="0"/>
          <c:showSerName val="0"/>
          <c:showPercent val="0"/>
          <c:showBubbleSize val="0"/>
        </c:dLbls>
        <c:axId val="130000384"/>
        <c:axId val="130002304"/>
      </c:scatterChart>
      <c:scatterChart>
        <c:scatterStyle val="lineMarker"/>
        <c:varyColors val="0"/>
        <c:ser>
          <c:idx val="2"/>
          <c:order val="2"/>
          <c:tx>
            <c:strRef>
              <c:f>Issues!$N$20</c:f>
              <c:strCache>
                <c:ptCount val="1"/>
                <c:pt idx="0">
                  <c:v>Imp. Fac</c:v>
                </c:pt>
              </c:strCache>
            </c:strRef>
          </c:tx>
          <c:spPr>
            <a:ln w="47625">
              <a:noFill/>
            </a:ln>
          </c:spPr>
          <c:xVal>
            <c:numRef>
              <c:f>Issues!$B$21:$B$30</c:f>
              <c:numCache>
                <c:formatCode>General</c:formatCode>
                <c:ptCount val="10"/>
                <c:pt idx="0">
                  <c:v>2002</c:v>
                </c:pt>
                <c:pt idx="1">
                  <c:v>2003</c:v>
                </c:pt>
                <c:pt idx="2">
                  <c:v>2004</c:v>
                </c:pt>
                <c:pt idx="3">
                  <c:v>2005</c:v>
                </c:pt>
                <c:pt idx="4">
                  <c:v>2006</c:v>
                </c:pt>
                <c:pt idx="5">
                  <c:v>2007</c:v>
                </c:pt>
                <c:pt idx="6">
                  <c:v>2008</c:v>
                </c:pt>
                <c:pt idx="7">
                  <c:v>2009</c:v>
                </c:pt>
                <c:pt idx="8">
                  <c:v>2010</c:v>
                </c:pt>
                <c:pt idx="9">
                  <c:v>2011</c:v>
                </c:pt>
              </c:numCache>
            </c:numRef>
          </c:xVal>
          <c:yVal>
            <c:numRef>
              <c:f>Issues!$N$21:$N$30</c:f>
              <c:numCache>
                <c:formatCode>General</c:formatCode>
                <c:ptCount val="10"/>
                <c:pt idx="0">
                  <c:v>0.88</c:v>
                </c:pt>
                <c:pt idx="1">
                  <c:v>1.2430000000000001</c:v>
                </c:pt>
                <c:pt idx="2">
                  <c:v>1.254</c:v>
                </c:pt>
                <c:pt idx="3">
                  <c:v>1.4730000000000001</c:v>
                </c:pt>
                <c:pt idx="4">
                  <c:v>1.272</c:v>
                </c:pt>
                <c:pt idx="5">
                  <c:v>1.413</c:v>
                </c:pt>
                <c:pt idx="6">
                  <c:v>1.532</c:v>
                </c:pt>
                <c:pt idx="7">
                  <c:v>1.4159999999999999</c:v>
                </c:pt>
                <c:pt idx="8">
                  <c:v>1.7969999999999999</c:v>
                </c:pt>
              </c:numCache>
            </c:numRef>
          </c:yVal>
          <c:smooth val="0"/>
        </c:ser>
        <c:dLbls>
          <c:showLegendKey val="0"/>
          <c:showVal val="0"/>
          <c:showCatName val="0"/>
          <c:showSerName val="0"/>
          <c:showPercent val="0"/>
          <c:showBubbleSize val="0"/>
        </c:dLbls>
        <c:axId val="130006400"/>
        <c:axId val="130004480"/>
      </c:scatterChart>
      <c:valAx>
        <c:axId val="130000384"/>
        <c:scaling>
          <c:orientation val="minMax"/>
          <c:max val="2012"/>
          <c:min val="2001"/>
        </c:scaling>
        <c:delete val="0"/>
        <c:axPos val="b"/>
        <c:title>
          <c:tx>
            <c:rich>
              <a:bodyPr/>
              <a:lstStyle/>
              <a:p>
                <a:pPr>
                  <a:defRPr/>
                </a:pPr>
                <a:r>
                  <a:rPr lang="en-US"/>
                  <a:t>Year</a:t>
                </a:r>
              </a:p>
            </c:rich>
          </c:tx>
          <c:overlay val="0"/>
        </c:title>
        <c:numFmt formatCode="General" sourceLinked="1"/>
        <c:majorTickMark val="out"/>
        <c:minorTickMark val="none"/>
        <c:tickLblPos val="nextTo"/>
        <c:crossAx val="130002304"/>
        <c:crosses val="autoZero"/>
        <c:crossBetween val="midCat"/>
      </c:valAx>
      <c:valAx>
        <c:axId val="130002304"/>
        <c:scaling>
          <c:orientation val="minMax"/>
        </c:scaling>
        <c:delete val="0"/>
        <c:axPos val="l"/>
        <c:title>
          <c:tx>
            <c:rich>
              <a:bodyPr rot="-5400000" vert="horz"/>
              <a:lstStyle/>
              <a:p>
                <a:pPr>
                  <a:defRPr/>
                </a:pPr>
                <a:r>
                  <a:rPr lang="en-US"/>
                  <a:t>Manuscripts</a:t>
                </a:r>
              </a:p>
            </c:rich>
          </c:tx>
          <c:overlay val="0"/>
        </c:title>
        <c:numFmt formatCode="General" sourceLinked="1"/>
        <c:majorTickMark val="out"/>
        <c:minorTickMark val="none"/>
        <c:tickLblPos val="nextTo"/>
        <c:crossAx val="130000384"/>
        <c:crosses val="autoZero"/>
        <c:crossBetween val="midCat"/>
      </c:valAx>
      <c:valAx>
        <c:axId val="130004480"/>
        <c:scaling>
          <c:orientation val="minMax"/>
          <c:min val="1"/>
        </c:scaling>
        <c:delete val="0"/>
        <c:axPos val="r"/>
        <c:title>
          <c:tx>
            <c:rich>
              <a:bodyPr rot="-5400000" vert="horz"/>
              <a:lstStyle/>
              <a:p>
                <a:pPr>
                  <a:defRPr/>
                </a:pPr>
                <a:r>
                  <a:rPr lang="en-US"/>
                  <a:t>Impact</a:t>
                </a:r>
                <a:r>
                  <a:rPr lang="en-US" baseline="0"/>
                  <a:t> Factor</a:t>
                </a:r>
                <a:endParaRPr lang="en-US"/>
              </a:p>
            </c:rich>
          </c:tx>
          <c:overlay val="0"/>
        </c:title>
        <c:numFmt formatCode="0.0" sourceLinked="0"/>
        <c:majorTickMark val="out"/>
        <c:minorTickMark val="none"/>
        <c:tickLblPos val="nextTo"/>
        <c:crossAx val="130006400"/>
        <c:crosses val="max"/>
        <c:crossBetween val="midCat"/>
      </c:valAx>
      <c:valAx>
        <c:axId val="130006400"/>
        <c:scaling>
          <c:orientation val="minMax"/>
        </c:scaling>
        <c:delete val="1"/>
        <c:axPos val="b"/>
        <c:numFmt formatCode="General" sourceLinked="1"/>
        <c:majorTickMark val="out"/>
        <c:minorTickMark val="none"/>
        <c:tickLblPos val="nextTo"/>
        <c:crossAx val="130004480"/>
        <c:crosses val="autoZero"/>
        <c:crossBetween val="midCat"/>
      </c:valAx>
      <c:spPr>
        <a:ln>
          <a:noFill/>
        </a:ln>
      </c:spPr>
    </c:plotArea>
    <c:legend>
      <c:legendPos val="r"/>
      <c:layout>
        <c:manualLayout>
          <c:xMode val="edge"/>
          <c:yMode val="edge"/>
          <c:x val="6.9088158097884822E-2"/>
          <c:y val="4.1282808398950134E-2"/>
          <c:w val="0.30865277134475838"/>
          <c:h val="0.30207750072907552"/>
        </c:manualLayout>
      </c:layout>
      <c:overlay val="1"/>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3</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raun</dc:creator>
  <cp:lastModifiedBy>bill raun</cp:lastModifiedBy>
  <cp:revision>13</cp:revision>
  <dcterms:created xsi:type="dcterms:W3CDTF">2012-10-03T16:05:00Z</dcterms:created>
  <dcterms:modified xsi:type="dcterms:W3CDTF">2012-10-05T18:57:00Z</dcterms:modified>
</cp:coreProperties>
</file>