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732" w:rsidRPr="000C4F29" w:rsidRDefault="005B02E9" w:rsidP="00B012A3">
      <w:pPr>
        <w:jc w:val="center"/>
        <w:rPr>
          <w:b/>
        </w:rPr>
      </w:pPr>
      <w:bookmarkStart w:id="0" w:name="_GoBack"/>
      <w:bookmarkEnd w:id="0"/>
      <w:r w:rsidRPr="000C4F29">
        <w:rPr>
          <w:b/>
        </w:rPr>
        <w:t>THE GREEN SEEDER</w:t>
      </w:r>
    </w:p>
    <w:p w:rsidR="00515060" w:rsidRDefault="005B02E9" w:rsidP="005B02E9">
      <w:pPr>
        <w:pStyle w:val="NoSpacing"/>
      </w:pPr>
      <w:r>
        <w:t>Smallholder farmers in Ghana traditionally plant grains (cereals and legumes) with the cutlass</w:t>
      </w:r>
      <w:r w:rsidR="008F58CD">
        <w:t xml:space="preserve"> (Fig.1)</w:t>
      </w:r>
      <w:r>
        <w:t xml:space="preserve">, hoe </w:t>
      </w:r>
      <w:r w:rsidR="008F58CD">
        <w:t xml:space="preserve">(Fig.2) </w:t>
      </w:r>
      <w:r>
        <w:t>or dibbling stick</w:t>
      </w:r>
      <w:r w:rsidR="008F58CD">
        <w:t xml:space="preserve"> (Fig.3)</w:t>
      </w:r>
      <w:r>
        <w:t xml:space="preserve">. </w:t>
      </w:r>
    </w:p>
    <w:p w:rsidR="00515060" w:rsidRDefault="00515060" w:rsidP="005B02E9">
      <w:pPr>
        <w:pStyle w:val="NoSpacing"/>
      </w:pPr>
    </w:p>
    <w:p w:rsidR="00515060" w:rsidRDefault="00515060" w:rsidP="005B02E9">
      <w:pPr>
        <w:pStyle w:val="NoSpacing"/>
      </w:pPr>
      <w:r>
        <w:rPr>
          <w:noProof/>
        </w:rPr>
        <w:drawing>
          <wp:inline distT="0" distB="0" distL="0" distR="0" wp14:anchorId="2906310E" wp14:editId="6D94BB94">
            <wp:extent cx="1866900" cy="1400175"/>
            <wp:effectExtent l="0" t="0" r="0" b="9525"/>
            <wp:docPr id="1" name="Picture 1" descr="C:\Users\PAPA COLE\AppData\Local\Microsoft\Windows\INetCache\Content.Word\IMG_1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PA COLE\AppData\Local\Microsoft\Windows\INetCache\Content.Word\IMG_105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8238" cy="1401179"/>
                    </a:xfrm>
                    <a:prstGeom prst="rect">
                      <a:avLst/>
                    </a:prstGeom>
                    <a:noFill/>
                    <a:ln>
                      <a:noFill/>
                    </a:ln>
                  </pic:spPr>
                </pic:pic>
              </a:graphicData>
            </a:graphic>
          </wp:inline>
        </w:drawing>
      </w:r>
      <w:r w:rsidR="00DD17F4">
        <w:t xml:space="preserve">  </w:t>
      </w:r>
      <w:r w:rsidR="00DD17F4">
        <w:rPr>
          <w:noProof/>
        </w:rPr>
        <w:drawing>
          <wp:inline distT="0" distB="0" distL="0" distR="0">
            <wp:extent cx="1865376" cy="1399032"/>
            <wp:effectExtent l="0" t="0" r="1905" b="0"/>
            <wp:docPr id="2" name="Picture 2" descr="C:\Users\PAPA COLE\AppData\Local\Microsoft\Windows\INetCache\Content.Word\IMG_1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PA COLE\AppData\Local\Microsoft\Windows\INetCache\Content.Word\IMG_105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65376" cy="1399032"/>
                    </a:xfrm>
                    <a:prstGeom prst="rect">
                      <a:avLst/>
                    </a:prstGeom>
                    <a:noFill/>
                    <a:ln>
                      <a:noFill/>
                    </a:ln>
                  </pic:spPr>
                </pic:pic>
              </a:graphicData>
            </a:graphic>
          </wp:inline>
        </w:drawing>
      </w:r>
      <w:r w:rsidR="00F242D1">
        <w:t xml:space="preserve"> </w:t>
      </w:r>
      <w:r w:rsidR="00187ACA">
        <w:rPr>
          <w:noProof/>
        </w:rPr>
        <w:drawing>
          <wp:inline distT="0" distB="0" distL="0" distR="0">
            <wp:extent cx="1865376" cy="1399032"/>
            <wp:effectExtent l="0" t="0" r="1905" b="0"/>
            <wp:docPr id="3" name="Picture 3" descr="C:\Users\PAPA COLE\AppData\Local\Microsoft\Windows\INetCache\Content.Word\IMG_1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PA COLE\AppData\Local\Microsoft\Windows\INetCache\Content.Word\IMG_105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5376" cy="1399032"/>
                    </a:xfrm>
                    <a:prstGeom prst="rect">
                      <a:avLst/>
                    </a:prstGeom>
                    <a:noFill/>
                    <a:ln>
                      <a:noFill/>
                    </a:ln>
                  </pic:spPr>
                </pic:pic>
              </a:graphicData>
            </a:graphic>
          </wp:inline>
        </w:drawing>
      </w:r>
    </w:p>
    <w:p w:rsidR="00515060" w:rsidRDefault="00313349" w:rsidP="005B02E9">
      <w:pPr>
        <w:pStyle w:val="NoSpacing"/>
      </w:pPr>
      <w:r>
        <w:t>Fig.1 planting with cutlass              Fig.2 planting with the hoe            Fig.3 planting with the stick</w:t>
      </w:r>
    </w:p>
    <w:p w:rsidR="00515060" w:rsidRDefault="00515060" w:rsidP="005B02E9">
      <w:pPr>
        <w:pStyle w:val="NoSpacing"/>
      </w:pPr>
    </w:p>
    <w:p w:rsidR="009D071D" w:rsidRDefault="005B02E9" w:rsidP="005B02E9">
      <w:pPr>
        <w:pStyle w:val="NoSpacing"/>
      </w:pPr>
      <w:r>
        <w:t xml:space="preserve">Planting with any of these tools requires that the farmer bends down to place the seed in the hole created and then closes it. This action is very strenuous on the waist </w:t>
      </w:r>
      <w:r w:rsidR="003A5856">
        <w:t xml:space="preserve">plus of course the fact </w:t>
      </w:r>
      <w:r w:rsidR="000A7F9A">
        <w:t>that a farmer can easily get the fingers pinched</w:t>
      </w:r>
      <w:r w:rsidR="003A5856">
        <w:t xml:space="preserve"> </w:t>
      </w:r>
      <w:r w:rsidR="009D071D">
        <w:t>b</w:t>
      </w:r>
      <w:r w:rsidR="003A5856">
        <w:t xml:space="preserve">y plant debris or stumps when </w:t>
      </w:r>
      <w:r w:rsidR="009D071D">
        <w:t xml:space="preserve">dropping the seed in the hole </w:t>
      </w:r>
      <w:r w:rsidR="003A5856">
        <w:t xml:space="preserve">on </w:t>
      </w:r>
      <w:r w:rsidR="009D071D">
        <w:t>the stubble covered no-till plot</w:t>
      </w:r>
      <w:r w:rsidR="003A5856">
        <w:t>.</w:t>
      </w:r>
    </w:p>
    <w:p w:rsidR="000A7F9A" w:rsidRDefault="000A7F9A" w:rsidP="005B02E9">
      <w:pPr>
        <w:pStyle w:val="NoSpacing"/>
      </w:pPr>
    </w:p>
    <w:p w:rsidR="000A7F9A" w:rsidRDefault="000A7F9A" w:rsidP="005B02E9">
      <w:pPr>
        <w:pStyle w:val="NoSpacing"/>
      </w:pPr>
      <w:r>
        <w:t xml:space="preserve">It has therefore become very necessary to explore ways of planting directly through the mulch in the no-till system without any fear of hurting the fingers and also reducing the pressure on the waist </w:t>
      </w:r>
      <w:r w:rsidR="0045465D">
        <w:t xml:space="preserve">whilst </w:t>
      </w:r>
      <w:r>
        <w:t>ensuring optimum plant stand. For this reason,</w:t>
      </w:r>
      <w:r w:rsidR="00B05581">
        <w:t xml:space="preserve"> </w:t>
      </w:r>
      <w:r>
        <w:t xml:space="preserve"> farmer</w:t>
      </w:r>
      <w:r w:rsidR="00236D6A">
        <w:t xml:space="preserve">s </w:t>
      </w:r>
      <w:r w:rsidR="00B05581">
        <w:t xml:space="preserve">visiting the Howard G. Buffett Foundation Centre for No-Till Agriculture at </w:t>
      </w:r>
      <w:proofErr w:type="spellStart"/>
      <w:r w:rsidR="00B05581">
        <w:t>Amanchia</w:t>
      </w:r>
      <w:proofErr w:type="spellEnd"/>
      <w:r w:rsidR="00B05581">
        <w:t xml:space="preserve"> in the Ashanti region of Ghana </w:t>
      </w:r>
      <w:r w:rsidR="00236D6A">
        <w:t>have been exposed to the Jab P</w:t>
      </w:r>
      <w:r>
        <w:t>lanter</w:t>
      </w:r>
      <w:r w:rsidR="00364D01">
        <w:t xml:space="preserve"> (Fig.4)</w:t>
      </w:r>
      <w:r>
        <w:t xml:space="preserve"> and the OSU Green Seeder</w:t>
      </w:r>
      <w:r w:rsidR="00364D01">
        <w:t xml:space="preserve"> (Figs. 5 &amp; 6)</w:t>
      </w:r>
      <w:r>
        <w:t xml:space="preserve">.  </w:t>
      </w:r>
    </w:p>
    <w:p w:rsidR="00044FA4" w:rsidRDefault="00044FA4" w:rsidP="005B02E9">
      <w:pPr>
        <w:pStyle w:val="NoSpacing"/>
      </w:pPr>
    </w:p>
    <w:p w:rsidR="00044FA4" w:rsidRDefault="00D67AA7" w:rsidP="005B02E9">
      <w:pPr>
        <w:pStyle w:val="NoSpacing"/>
      </w:pPr>
      <w:r>
        <w:rPr>
          <w:noProof/>
        </w:rPr>
        <w:drawing>
          <wp:inline distT="0" distB="0" distL="0" distR="0">
            <wp:extent cx="1865376" cy="1399032"/>
            <wp:effectExtent l="0" t="0" r="1905" b="0"/>
            <wp:docPr id="4" name="Picture 4" descr="C:\Users\PAPA COLE\Pictures\IMG_1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APA COLE\Pictures\IMG_103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5376" cy="1399032"/>
                    </a:xfrm>
                    <a:prstGeom prst="rect">
                      <a:avLst/>
                    </a:prstGeom>
                    <a:noFill/>
                    <a:ln>
                      <a:noFill/>
                    </a:ln>
                  </pic:spPr>
                </pic:pic>
              </a:graphicData>
            </a:graphic>
          </wp:inline>
        </w:drawing>
      </w:r>
      <w:r w:rsidR="00364D01">
        <w:t xml:space="preserve">  </w:t>
      </w:r>
      <w:r w:rsidR="00364D01">
        <w:rPr>
          <w:noProof/>
        </w:rPr>
        <w:drawing>
          <wp:inline distT="0" distB="0" distL="0" distR="0">
            <wp:extent cx="1865376" cy="1399032"/>
            <wp:effectExtent l="0" t="0" r="1905" b="0"/>
            <wp:docPr id="5" name="Picture 5" descr="C:\Users\PAPA COLE\Pictures\IMG_1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APA COLE\Pictures\IMG_103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5376" cy="1399032"/>
                    </a:xfrm>
                    <a:prstGeom prst="rect">
                      <a:avLst/>
                    </a:prstGeom>
                    <a:noFill/>
                    <a:ln>
                      <a:noFill/>
                    </a:ln>
                  </pic:spPr>
                </pic:pic>
              </a:graphicData>
            </a:graphic>
          </wp:inline>
        </w:drawing>
      </w:r>
      <w:r w:rsidR="00364D01">
        <w:t xml:space="preserve">  </w:t>
      </w:r>
      <w:r w:rsidR="00364D01">
        <w:rPr>
          <w:noProof/>
        </w:rPr>
        <w:drawing>
          <wp:inline distT="0" distB="0" distL="0" distR="0">
            <wp:extent cx="1865376" cy="1399032"/>
            <wp:effectExtent l="0" t="0" r="1905" b="0"/>
            <wp:docPr id="6" name="Picture 6" descr="C:\Users\PAPA COLE\Pictures\IMG_1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APA COLE\Pictures\IMG_104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5376" cy="1399032"/>
                    </a:xfrm>
                    <a:prstGeom prst="rect">
                      <a:avLst/>
                    </a:prstGeom>
                    <a:noFill/>
                    <a:ln>
                      <a:noFill/>
                    </a:ln>
                  </pic:spPr>
                </pic:pic>
              </a:graphicData>
            </a:graphic>
          </wp:inline>
        </w:drawing>
      </w:r>
    </w:p>
    <w:p w:rsidR="00044FA4" w:rsidRDefault="0086139F" w:rsidP="005B02E9">
      <w:pPr>
        <w:pStyle w:val="NoSpacing"/>
      </w:pPr>
      <w:r>
        <w:t>Fig.4 Jab Planter                               Fig.5 Green Seeder into the soil     Fig.6 releasing the seed</w:t>
      </w:r>
    </w:p>
    <w:p w:rsidR="007F180B" w:rsidRDefault="007F180B" w:rsidP="005B02E9">
      <w:pPr>
        <w:pStyle w:val="NoSpacing"/>
      </w:pPr>
    </w:p>
    <w:p w:rsidR="006A3AC0" w:rsidRDefault="00236D6A" w:rsidP="005B02E9">
      <w:pPr>
        <w:pStyle w:val="NoSpacing"/>
      </w:pPr>
      <w:r>
        <w:t>Both the Jab P</w:t>
      </w:r>
      <w:r w:rsidR="00843C88">
        <w:t xml:space="preserve">lanter </w:t>
      </w:r>
      <w:r w:rsidR="0027325E">
        <w:t xml:space="preserve">(Fig. 7) </w:t>
      </w:r>
      <w:r w:rsidR="00843C88">
        <w:t xml:space="preserve">and the Green Seeder </w:t>
      </w:r>
      <w:r w:rsidR="0027325E">
        <w:t xml:space="preserve">(Fig. 8) </w:t>
      </w:r>
      <w:r w:rsidR="006D3AD7">
        <w:t xml:space="preserve">gave </w:t>
      </w:r>
      <w:r w:rsidR="002033FF">
        <w:t xml:space="preserve">equal </w:t>
      </w:r>
      <w:r w:rsidR="0045465D">
        <w:t xml:space="preserve">and acceptable </w:t>
      </w:r>
      <w:r w:rsidR="002033FF">
        <w:t>plant stand</w:t>
      </w:r>
      <w:r w:rsidR="0027325E">
        <w:t xml:space="preserve"> of 40,300 and 40,258 plants/ha respectively)</w:t>
      </w:r>
      <w:r w:rsidR="00B960B8">
        <w:t xml:space="preserve"> resulting in grain yield of maize of 3.56 t/ha for the jab planter and 3.50 t/ha for the Green Seeder.</w:t>
      </w:r>
      <w:r w:rsidR="007750A2">
        <w:t xml:space="preserve"> </w:t>
      </w:r>
    </w:p>
    <w:p w:rsidR="006A3AC0" w:rsidRDefault="006A3AC0" w:rsidP="005B02E9">
      <w:pPr>
        <w:pStyle w:val="NoSpacing"/>
      </w:pPr>
    </w:p>
    <w:p w:rsidR="006A3AC0" w:rsidRDefault="006A3AC0" w:rsidP="005B02E9">
      <w:pPr>
        <w:pStyle w:val="NoSpacing"/>
      </w:pPr>
    </w:p>
    <w:p w:rsidR="006A3AC0" w:rsidRDefault="006A3AC0" w:rsidP="005B02E9">
      <w:pPr>
        <w:pStyle w:val="NoSpacing"/>
      </w:pPr>
      <w:r>
        <w:rPr>
          <w:noProof/>
        </w:rPr>
        <w:lastRenderedPageBreak/>
        <w:t xml:space="preserve">  </w:t>
      </w:r>
      <w:r>
        <w:rPr>
          <w:noProof/>
        </w:rPr>
        <w:drawing>
          <wp:inline distT="0" distB="0" distL="0" distR="0">
            <wp:extent cx="2301240" cy="1725930"/>
            <wp:effectExtent l="0" t="0" r="3810" b="7620"/>
            <wp:docPr id="7" name="Picture 7" descr="C:\Users\PAPA COLE\Pictures\Apple Phone\IMG_0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APA COLE\Pictures\Apple Phone\IMG_026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a:off x="0" y="0"/>
                      <a:ext cx="2299361" cy="1724521"/>
                    </a:xfrm>
                    <a:prstGeom prst="rect">
                      <a:avLst/>
                    </a:prstGeom>
                    <a:noFill/>
                    <a:ln>
                      <a:noFill/>
                    </a:ln>
                  </pic:spPr>
                </pic:pic>
              </a:graphicData>
            </a:graphic>
          </wp:inline>
        </w:drawing>
      </w:r>
      <w:r>
        <w:rPr>
          <w:noProof/>
        </w:rPr>
        <w:t xml:space="preserve">        </w:t>
      </w:r>
      <w:r w:rsidR="0027325E">
        <w:rPr>
          <w:noProof/>
        </w:rPr>
        <w:t xml:space="preserve">            </w:t>
      </w:r>
      <w:r w:rsidR="0027325E">
        <w:rPr>
          <w:noProof/>
        </w:rPr>
        <w:drawing>
          <wp:inline distT="0" distB="0" distL="0" distR="0">
            <wp:extent cx="2304288" cy="1728216"/>
            <wp:effectExtent l="0" t="0" r="1270" b="5715"/>
            <wp:docPr id="8" name="Picture 8" descr="C:\Users\PAPA COLE\Pictures\Apple Phone\IMG_0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APA COLE\Pictures\Apple Phone\IMG_026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a:off x="0" y="0"/>
                      <a:ext cx="2304288" cy="1728216"/>
                    </a:xfrm>
                    <a:prstGeom prst="rect">
                      <a:avLst/>
                    </a:prstGeom>
                    <a:noFill/>
                    <a:ln>
                      <a:noFill/>
                    </a:ln>
                  </pic:spPr>
                </pic:pic>
              </a:graphicData>
            </a:graphic>
          </wp:inline>
        </w:drawing>
      </w:r>
    </w:p>
    <w:p w:rsidR="006A3AC0" w:rsidRDefault="00736AD4" w:rsidP="005B02E9">
      <w:pPr>
        <w:pStyle w:val="NoSpacing"/>
      </w:pPr>
      <w:r>
        <w:t xml:space="preserve">         </w:t>
      </w:r>
      <w:r w:rsidR="0027325E">
        <w:t>Fig. 7 Jab planter field                                                        Fig. 8 green seeder field</w:t>
      </w:r>
    </w:p>
    <w:p w:rsidR="006A3AC0" w:rsidRDefault="006A3AC0" w:rsidP="005B02E9">
      <w:pPr>
        <w:pStyle w:val="NoSpacing"/>
      </w:pPr>
    </w:p>
    <w:p w:rsidR="006A3AC0" w:rsidRDefault="006A3AC0" w:rsidP="005B02E9">
      <w:pPr>
        <w:pStyle w:val="NoSpacing"/>
      </w:pPr>
    </w:p>
    <w:p w:rsidR="00843C88" w:rsidRDefault="007750A2" w:rsidP="005B02E9">
      <w:pPr>
        <w:pStyle w:val="NoSpacing"/>
      </w:pPr>
      <w:r>
        <w:t xml:space="preserve">The ease of usage </w:t>
      </w:r>
      <w:r w:rsidR="00025F72">
        <w:t>has however been</w:t>
      </w:r>
      <w:r>
        <w:t xml:space="preserve"> the matter of concern </w:t>
      </w:r>
      <w:r w:rsidR="00C569A9">
        <w:t xml:space="preserve">for farmers </w:t>
      </w:r>
      <w:r>
        <w:t>as noted in the following paragraphs.</w:t>
      </w:r>
    </w:p>
    <w:p w:rsidR="002033FF" w:rsidRDefault="002033FF" w:rsidP="005B02E9">
      <w:pPr>
        <w:pStyle w:val="NoSpacing"/>
      </w:pPr>
    </w:p>
    <w:p w:rsidR="002B0069" w:rsidRDefault="002B0069" w:rsidP="005B02E9">
      <w:pPr>
        <w:pStyle w:val="NoSpacing"/>
      </w:pPr>
      <w:r>
        <w:t>The Jab Planter</w:t>
      </w:r>
    </w:p>
    <w:p w:rsidR="00D7339B" w:rsidRDefault="002033FF" w:rsidP="005B02E9">
      <w:pPr>
        <w:pStyle w:val="NoSpacing"/>
      </w:pPr>
      <w:r>
        <w:t>Farmers realized that they could load both the seed and fertilizer into the two-port jab planter and plant and apply inorganic fertilizer at the same time with just a single jab.</w:t>
      </w:r>
      <w:r w:rsidR="00D7339B">
        <w:t xml:space="preserve"> There have been mixed opinions about this because some farmers, especially the elderly women find the jab planter loaded with seed and fertilizer too heavy to manage in the first 20 minutes of planting when all two pots are filled. </w:t>
      </w:r>
      <w:r w:rsidR="00012E01">
        <w:t xml:space="preserve">With the Jab Planter, a farmer could easily change the seeding rate to drop one, two or three seeds/jab or even </w:t>
      </w:r>
      <w:r w:rsidR="00D7339B">
        <w:t xml:space="preserve">switch between </w:t>
      </w:r>
      <w:r w:rsidR="00012E01">
        <w:t xml:space="preserve">larger </w:t>
      </w:r>
      <w:r w:rsidR="00D7339B">
        <w:t>and s</w:t>
      </w:r>
      <w:r w:rsidR="00012E01">
        <w:t>maller seeds just by pulling or pushing a knob at the base of the seed port.</w:t>
      </w:r>
    </w:p>
    <w:p w:rsidR="00D7339B" w:rsidRDefault="00D7339B" w:rsidP="005B02E9">
      <w:pPr>
        <w:pStyle w:val="NoSpacing"/>
      </w:pPr>
    </w:p>
    <w:p w:rsidR="008A4EB3" w:rsidRDefault="00012E01" w:rsidP="005B02E9">
      <w:pPr>
        <w:pStyle w:val="NoSpacing"/>
      </w:pPr>
      <w:r>
        <w:t xml:space="preserve"> </w:t>
      </w:r>
      <w:r w:rsidR="00333502">
        <w:t xml:space="preserve">Farmers were also concerned about the technical skills needed to operate the Jab Planter effectively. One needed to build the rhythmic skills of opening and closing whilst jabbing otherwise the planter gets easily clogged </w:t>
      </w:r>
      <w:r w:rsidR="001F49DE">
        <w:t>with dirt and the seed/fertilizer will not drop. This can lead to poor plant stand.</w:t>
      </w:r>
      <w:r w:rsidR="000E3CFD">
        <w:t xml:space="preserve"> The soil moisture level also becomes a matter</w:t>
      </w:r>
      <w:r w:rsidR="00386101">
        <w:t xml:space="preserve"> of concern especially in the silty and clayey loamy soils. It was noted to be d</w:t>
      </w:r>
      <w:r w:rsidR="00E976F4">
        <w:t>ifficult planting with the jab p</w:t>
      </w:r>
      <w:r w:rsidR="00386101">
        <w:t>lanter a day after a good rainfall on those two soils as the soils at that time become a bit sticky and present difficulties in opening to release the seed</w:t>
      </w:r>
      <w:r w:rsidR="00E976F4">
        <w:t>.</w:t>
      </w:r>
      <w:r w:rsidR="008A4EB3">
        <w:t xml:space="preserve"> The lack of adjustment of the height of the </w:t>
      </w:r>
      <w:r w:rsidR="00E77FFD">
        <w:t>j</w:t>
      </w:r>
      <w:r w:rsidR="008A4EB3">
        <w:t>ab planter also posed a bit of a problem for the very tall and very short farmers.</w:t>
      </w:r>
    </w:p>
    <w:p w:rsidR="008A4EB3" w:rsidRDefault="008A4EB3" w:rsidP="005B02E9">
      <w:pPr>
        <w:pStyle w:val="NoSpacing"/>
      </w:pPr>
    </w:p>
    <w:p w:rsidR="005013FF" w:rsidRDefault="005013FF" w:rsidP="005B02E9">
      <w:pPr>
        <w:pStyle w:val="NoSpacing"/>
      </w:pPr>
      <w:r>
        <w:t>The Green Seeder</w:t>
      </w:r>
    </w:p>
    <w:p w:rsidR="007D12C1" w:rsidRDefault="008A4EB3" w:rsidP="005B02E9">
      <w:pPr>
        <w:pStyle w:val="NoSpacing"/>
      </w:pPr>
      <w:r>
        <w:t>For some farmers especially the youth, the i</w:t>
      </w:r>
      <w:r w:rsidR="00B13EFC">
        <w:t>nability of the Green Seeder to plant and apply</w:t>
      </w:r>
      <w:r>
        <w:t xml:space="preserve"> fertilizer at the same </w:t>
      </w:r>
      <w:r w:rsidR="00B13EFC">
        <w:t>as compared to the jab planter was</w:t>
      </w:r>
      <w:r w:rsidR="00CD5E88">
        <w:t xml:space="preserve"> of a concern. </w:t>
      </w:r>
      <w:r w:rsidR="00AF2789">
        <w:t xml:space="preserve">It was also not easy for farmers to change the seeding rate </w:t>
      </w:r>
      <w:r w:rsidR="003161CF">
        <w:t xml:space="preserve">once </w:t>
      </w:r>
      <w:r w:rsidR="001324A8">
        <w:t>a particular metering device had</w:t>
      </w:r>
      <w:r w:rsidR="003161CF">
        <w:t xml:space="preserve"> been installed. </w:t>
      </w:r>
    </w:p>
    <w:p w:rsidR="007D12C1" w:rsidRDefault="007D12C1" w:rsidP="005B02E9">
      <w:pPr>
        <w:pStyle w:val="NoSpacing"/>
      </w:pPr>
    </w:p>
    <w:p w:rsidR="00AF2789" w:rsidRDefault="00CD5E88" w:rsidP="005B02E9">
      <w:pPr>
        <w:pStyle w:val="NoSpacing"/>
      </w:pPr>
      <w:r>
        <w:t>Generally farmers realized that it was easier to plant with the Green Seeder as it was not so much different from using the traditional dibbling stick in punching holes</w:t>
      </w:r>
      <w:r w:rsidR="00E77FFD">
        <w:t>. The possibility</w:t>
      </w:r>
      <w:r>
        <w:t xml:space="preserve"> of dropping the seeds without bending down which has always been a strain on the </w:t>
      </w:r>
      <w:r w:rsidR="00E77FFD">
        <w:t xml:space="preserve">farmers’ </w:t>
      </w:r>
      <w:r>
        <w:t>waist</w:t>
      </w:r>
      <w:r w:rsidR="00E77FFD">
        <w:t xml:space="preserve"> was noted to be a very big advantage</w:t>
      </w:r>
      <w:r>
        <w:t xml:space="preserve">. The </w:t>
      </w:r>
      <w:r w:rsidR="002E6239">
        <w:t xml:space="preserve">use of the Green Seeder </w:t>
      </w:r>
      <w:r w:rsidR="00802CFC">
        <w:t xml:space="preserve">also </w:t>
      </w:r>
      <w:r w:rsidR="002E6239">
        <w:t xml:space="preserve">eliminated the </w:t>
      </w:r>
      <w:r w:rsidR="00E77FFD">
        <w:t>chances</w:t>
      </w:r>
      <w:r>
        <w:t xml:space="preserve"> of </w:t>
      </w:r>
      <w:r w:rsidR="002E6239">
        <w:t xml:space="preserve">farmers </w:t>
      </w:r>
      <w:r>
        <w:t>hurting the</w:t>
      </w:r>
      <w:r w:rsidR="002E6239">
        <w:t>ir</w:t>
      </w:r>
      <w:r>
        <w:t xml:space="preserve"> fingers</w:t>
      </w:r>
      <w:r w:rsidR="002E6239">
        <w:t>.</w:t>
      </w:r>
      <w:r>
        <w:t xml:space="preserve"> </w:t>
      </w:r>
      <w:r w:rsidR="00AF2789">
        <w:t xml:space="preserve">Other observations by farmers were that the soil moisture condition </w:t>
      </w:r>
      <w:r w:rsidR="002E6239">
        <w:t>required for planting was not as critical as the jab p</w:t>
      </w:r>
      <w:r w:rsidR="00AF2789">
        <w:t xml:space="preserve">lanter and that the window of operation in terms of being able to plant </w:t>
      </w:r>
      <w:r w:rsidR="002E6239">
        <w:t xml:space="preserve">any time after rainfall </w:t>
      </w:r>
      <w:r w:rsidR="00AF2789">
        <w:t xml:space="preserve">was wider. The long pole </w:t>
      </w:r>
      <w:r w:rsidR="00E84274">
        <w:t xml:space="preserve">of the Green Seeder </w:t>
      </w:r>
      <w:r w:rsidR="00AF2789">
        <w:t>made it feasible for use by farmers of different heights.</w:t>
      </w:r>
    </w:p>
    <w:p w:rsidR="00AF2789" w:rsidRDefault="00AF2789" w:rsidP="005B02E9">
      <w:pPr>
        <w:pStyle w:val="NoSpacing"/>
      </w:pPr>
    </w:p>
    <w:p w:rsidR="00E84274" w:rsidRDefault="00AF2789" w:rsidP="00F42E27">
      <w:pPr>
        <w:pStyle w:val="NoSpacing"/>
      </w:pPr>
      <w:r>
        <w:lastRenderedPageBreak/>
        <w:t>Generally</w:t>
      </w:r>
      <w:r w:rsidR="00E84274">
        <w:t>,</w:t>
      </w:r>
      <w:r>
        <w:t xml:space="preserve"> farmers </w:t>
      </w:r>
      <w:r w:rsidR="00E84274">
        <w:t>preferred</w:t>
      </w:r>
      <w:r>
        <w:t xml:space="preserve"> th</w:t>
      </w:r>
      <w:r w:rsidR="00E84274">
        <w:t>e use of the Green Seeder to the</w:t>
      </w:r>
      <w:r w:rsidR="00514E54">
        <w:t xml:space="preserve"> J</w:t>
      </w:r>
      <w:r>
        <w:t xml:space="preserve">ab </w:t>
      </w:r>
      <w:r w:rsidR="00514E54">
        <w:t>P</w:t>
      </w:r>
      <w:r>
        <w:t>lanter</w:t>
      </w:r>
      <w:r w:rsidR="00802CFC">
        <w:t xml:space="preserve"> </w:t>
      </w:r>
      <w:r w:rsidR="00E84274">
        <w:t>but farmers would love to see improvements in</w:t>
      </w:r>
      <w:r w:rsidR="00F42E27">
        <w:t xml:space="preserve"> the </w:t>
      </w:r>
      <w:r w:rsidR="00F42E27" w:rsidRPr="00F42E27">
        <w:rPr>
          <w:b/>
        </w:rPr>
        <w:t>a</w:t>
      </w:r>
      <w:r w:rsidR="00E84274" w:rsidRPr="00F42E27">
        <w:rPr>
          <w:b/>
        </w:rPr>
        <w:t>bility to change the seeding rate or switch between planting smaller and larger seeds easily as it is the case with the jab planter.</w:t>
      </w:r>
    </w:p>
    <w:p w:rsidR="00843C88" w:rsidRDefault="00AF2789" w:rsidP="00C87FE9">
      <w:pPr>
        <w:pStyle w:val="NoSpacing"/>
        <w:ind w:left="720"/>
      </w:pPr>
      <w:r>
        <w:t xml:space="preserve">  </w:t>
      </w:r>
      <w:r w:rsidR="00B13EFC">
        <w:t xml:space="preserve"> </w:t>
      </w:r>
      <w:r w:rsidR="001F49DE">
        <w:t xml:space="preserve"> </w:t>
      </w:r>
    </w:p>
    <w:p w:rsidR="007F180B" w:rsidRDefault="007F180B" w:rsidP="005B02E9">
      <w:pPr>
        <w:pStyle w:val="NoSpacing"/>
      </w:pPr>
    </w:p>
    <w:p w:rsidR="007F180B" w:rsidRDefault="007F180B" w:rsidP="005B02E9">
      <w:pPr>
        <w:pStyle w:val="NoSpacing"/>
      </w:pPr>
    </w:p>
    <w:p w:rsidR="005B02E9" w:rsidRPr="009D071D" w:rsidRDefault="009D071D" w:rsidP="009D071D">
      <w:pPr>
        <w:tabs>
          <w:tab w:val="left" w:pos="1896"/>
        </w:tabs>
      </w:pPr>
      <w:r>
        <w:tab/>
      </w:r>
    </w:p>
    <w:sectPr w:rsidR="005B02E9" w:rsidRPr="009D07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E12CAA"/>
    <w:multiLevelType w:val="hybridMultilevel"/>
    <w:tmpl w:val="2BDCFD26"/>
    <w:lvl w:ilvl="0" w:tplc="FCF83D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2E9"/>
    <w:rsid w:val="00012E01"/>
    <w:rsid w:val="00025F72"/>
    <w:rsid w:val="00044FA4"/>
    <w:rsid w:val="000A7F9A"/>
    <w:rsid w:val="000C4F29"/>
    <w:rsid w:val="000E3CFD"/>
    <w:rsid w:val="001324A8"/>
    <w:rsid w:val="00187ACA"/>
    <w:rsid w:val="001F49DE"/>
    <w:rsid w:val="002033FF"/>
    <w:rsid w:val="00236D6A"/>
    <w:rsid w:val="0027325E"/>
    <w:rsid w:val="00281147"/>
    <w:rsid w:val="002B0069"/>
    <w:rsid w:val="002E6239"/>
    <w:rsid w:val="00313349"/>
    <w:rsid w:val="003161CF"/>
    <w:rsid w:val="00333502"/>
    <w:rsid w:val="00343FD3"/>
    <w:rsid w:val="00364D01"/>
    <w:rsid w:val="00386101"/>
    <w:rsid w:val="003A5856"/>
    <w:rsid w:val="0045465D"/>
    <w:rsid w:val="004F7732"/>
    <w:rsid w:val="005013FF"/>
    <w:rsid w:val="00514E54"/>
    <w:rsid w:val="00515060"/>
    <w:rsid w:val="005B02E9"/>
    <w:rsid w:val="005C38A4"/>
    <w:rsid w:val="006A3AC0"/>
    <w:rsid w:val="006D3AD7"/>
    <w:rsid w:val="007226AC"/>
    <w:rsid w:val="00736AD4"/>
    <w:rsid w:val="007750A2"/>
    <w:rsid w:val="007D12C1"/>
    <w:rsid w:val="007F180B"/>
    <w:rsid w:val="00802CFC"/>
    <w:rsid w:val="00843C88"/>
    <w:rsid w:val="0086139F"/>
    <w:rsid w:val="008A4EB3"/>
    <w:rsid w:val="008F58CD"/>
    <w:rsid w:val="00920D1E"/>
    <w:rsid w:val="009D071D"/>
    <w:rsid w:val="009D63AA"/>
    <w:rsid w:val="00A52491"/>
    <w:rsid w:val="00AF2789"/>
    <w:rsid w:val="00B012A3"/>
    <w:rsid w:val="00B05581"/>
    <w:rsid w:val="00B13EFC"/>
    <w:rsid w:val="00B960B8"/>
    <w:rsid w:val="00C569A9"/>
    <w:rsid w:val="00C87FE9"/>
    <w:rsid w:val="00CD5E88"/>
    <w:rsid w:val="00D67AA7"/>
    <w:rsid w:val="00D7339B"/>
    <w:rsid w:val="00DD17F4"/>
    <w:rsid w:val="00DF01EB"/>
    <w:rsid w:val="00E77FFD"/>
    <w:rsid w:val="00E84274"/>
    <w:rsid w:val="00E976F4"/>
    <w:rsid w:val="00F242D1"/>
    <w:rsid w:val="00F42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D3E0CD-D663-444C-90B1-966D07F6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02E9"/>
    <w:pPr>
      <w:spacing w:after="0" w:line="240" w:lineRule="auto"/>
    </w:pPr>
  </w:style>
  <w:style w:type="paragraph" w:styleId="BalloonText">
    <w:name w:val="Balloon Text"/>
    <w:basedOn w:val="Normal"/>
    <w:link w:val="BalloonTextChar"/>
    <w:uiPriority w:val="99"/>
    <w:semiHidden/>
    <w:unhideWhenUsed/>
    <w:rsid w:val="00722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6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 COLE</dc:creator>
  <cp:lastModifiedBy>william raun</cp:lastModifiedBy>
  <cp:revision>2</cp:revision>
  <dcterms:created xsi:type="dcterms:W3CDTF">2018-01-30T18:44:00Z</dcterms:created>
  <dcterms:modified xsi:type="dcterms:W3CDTF">2018-01-30T18:44:00Z</dcterms:modified>
</cp:coreProperties>
</file>