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8886" w14:textId="058513C8" w:rsidR="00DD004C" w:rsidRPr="00C60CC9" w:rsidRDefault="00DD004C" w:rsidP="00C11BF2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C60CC9">
        <w:rPr>
          <w:rFonts w:ascii="Verdana" w:hAnsi="Verdana" w:cs="Times New Roman"/>
          <w:b/>
          <w:sz w:val="24"/>
          <w:szCs w:val="24"/>
        </w:rPr>
        <w:t xml:space="preserve">Needs Assessment Report for </w:t>
      </w:r>
      <w:r w:rsidR="00CC3F12" w:rsidRPr="00C60CC9">
        <w:rPr>
          <w:rFonts w:ascii="Verdana" w:hAnsi="Verdana" w:cs="Times New Roman"/>
          <w:b/>
          <w:sz w:val="24"/>
          <w:szCs w:val="24"/>
        </w:rPr>
        <w:t xml:space="preserve">the </w:t>
      </w:r>
      <w:proofErr w:type="spellStart"/>
      <w:r w:rsidR="000A4B17" w:rsidRPr="00C60CC9">
        <w:rPr>
          <w:rFonts w:ascii="Verdana" w:hAnsi="Verdana" w:cs="Times New Roman"/>
          <w:b/>
          <w:sz w:val="24"/>
          <w:szCs w:val="24"/>
        </w:rPr>
        <w:t>Greenseeder</w:t>
      </w:r>
      <w:proofErr w:type="spellEnd"/>
      <w:r w:rsidR="00CC3F12" w:rsidRPr="00C60CC9">
        <w:rPr>
          <w:rFonts w:ascii="Verdana" w:hAnsi="Verdana" w:cs="Times New Roman"/>
          <w:b/>
          <w:sz w:val="24"/>
          <w:szCs w:val="24"/>
        </w:rPr>
        <w:t xml:space="preserve"> </w:t>
      </w:r>
      <w:r w:rsidRPr="00C60CC9">
        <w:rPr>
          <w:rFonts w:ascii="Verdana" w:hAnsi="Verdana" w:cs="Times New Roman"/>
          <w:b/>
          <w:sz w:val="24"/>
          <w:szCs w:val="24"/>
        </w:rPr>
        <w:t xml:space="preserve">Hand Planter Project </w:t>
      </w:r>
      <w:r w:rsidR="00E43EE7" w:rsidRPr="00C60CC9">
        <w:rPr>
          <w:rFonts w:ascii="Verdana" w:hAnsi="Verdana" w:cs="Times New Roman"/>
          <w:b/>
          <w:sz w:val="24"/>
          <w:szCs w:val="24"/>
        </w:rPr>
        <w:t>for</w:t>
      </w:r>
      <w:r w:rsidRPr="00C60CC9">
        <w:rPr>
          <w:rFonts w:ascii="Verdana" w:hAnsi="Verdana" w:cs="Times New Roman"/>
          <w:b/>
          <w:sz w:val="24"/>
          <w:szCs w:val="24"/>
        </w:rPr>
        <w:t xml:space="preserve"> </w:t>
      </w:r>
      <w:r w:rsidR="006E70D8" w:rsidRPr="00C60CC9">
        <w:rPr>
          <w:rFonts w:ascii="Verdana" w:hAnsi="Verdana" w:cs="Times New Roman"/>
          <w:b/>
          <w:sz w:val="24"/>
          <w:szCs w:val="24"/>
        </w:rPr>
        <w:t>Abuja Nigeria (Federal Capital Territory)</w:t>
      </w:r>
    </w:p>
    <w:p w14:paraId="7874CBB1" w14:textId="6A8DD5F3" w:rsidR="00E43EE7" w:rsidRPr="00CF56E1" w:rsidRDefault="00E43EE7" w:rsidP="00C11BF2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C60CC9">
        <w:rPr>
          <w:rFonts w:ascii="Verdana" w:hAnsi="Verdana" w:cs="Times New Roman"/>
          <w:sz w:val="24"/>
          <w:szCs w:val="24"/>
          <w:u w:val="single"/>
        </w:rPr>
        <w:t>N</w:t>
      </w:r>
      <w:r w:rsidR="00CF56E1" w:rsidRPr="00C60CC9">
        <w:rPr>
          <w:rFonts w:ascii="Verdana" w:hAnsi="Verdana" w:cs="Times New Roman"/>
          <w:sz w:val="24"/>
          <w:szCs w:val="24"/>
          <w:u w:val="single"/>
        </w:rPr>
        <w:t>OTE:</w:t>
      </w:r>
      <w:r w:rsidR="00CF56E1" w:rsidRPr="00CF56E1">
        <w:rPr>
          <w:rFonts w:ascii="Verdana" w:hAnsi="Verdana" w:cs="Times New Roman"/>
          <w:sz w:val="24"/>
          <w:szCs w:val="24"/>
        </w:rPr>
        <w:t xml:space="preserve">  </w:t>
      </w:r>
      <w:r w:rsidRPr="00CF56E1">
        <w:rPr>
          <w:rFonts w:ascii="Verdana" w:hAnsi="Verdana" w:cs="Times New Roman"/>
          <w:sz w:val="24"/>
          <w:szCs w:val="24"/>
        </w:rPr>
        <w:t xml:space="preserve">The original </w:t>
      </w:r>
      <w:r w:rsidR="00CF56E1" w:rsidRPr="00CF56E1">
        <w:rPr>
          <w:rFonts w:ascii="Verdana" w:hAnsi="Verdana" w:cs="Times New Roman"/>
          <w:sz w:val="24"/>
          <w:szCs w:val="24"/>
        </w:rPr>
        <w:t>N</w:t>
      </w:r>
      <w:r w:rsidRPr="00CF56E1">
        <w:rPr>
          <w:rFonts w:ascii="Verdana" w:hAnsi="Verdana" w:cs="Times New Roman"/>
          <w:sz w:val="24"/>
          <w:szCs w:val="24"/>
        </w:rPr>
        <w:t xml:space="preserve">eeds </w:t>
      </w:r>
      <w:r w:rsidR="00CF56E1" w:rsidRPr="00CF56E1">
        <w:rPr>
          <w:rFonts w:ascii="Verdana" w:hAnsi="Verdana" w:cs="Times New Roman"/>
          <w:sz w:val="24"/>
          <w:szCs w:val="24"/>
        </w:rPr>
        <w:t>A</w:t>
      </w:r>
      <w:r w:rsidRPr="00CF56E1">
        <w:rPr>
          <w:rFonts w:ascii="Verdana" w:hAnsi="Verdana" w:cs="Times New Roman"/>
          <w:sz w:val="24"/>
          <w:szCs w:val="24"/>
        </w:rPr>
        <w:t xml:space="preserve">ssessment was conducted for Lira Uganda where we had former students and personnel working in that region.  The proposal we submitted to Rotary International was </w:t>
      </w:r>
      <w:r w:rsidR="00E45B5C" w:rsidRPr="00CF56E1">
        <w:rPr>
          <w:rFonts w:ascii="Verdana" w:hAnsi="Verdana" w:cs="Times New Roman"/>
          <w:sz w:val="24"/>
          <w:szCs w:val="24"/>
        </w:rPr>
        <w:t>likely</w:t>
      </w:r>
      <w:r w:rsidR="00CF56E1" w:rsidRPr="00CF56E1">
        <w:rPr>
          <w:rFonts w:ascii="Verdana" w:hAnsi="Verdana" w:cs="Times New Roman"/>
          <w:sz w:val="24"/>
          <w:szCs w:val="24"/>
        </w:rPr>
        <w:t xml:space="preserve"> </w:t>
      </w:r>
      <w:r w:rsidRPr="00CF56E1">
        <w:rPr>
          <w:rFonts w:ascii="Verdana" w:hAnsi="Verdana" w:cs="Times New Roman"/>
          <w:sz w:val="24"/>
          <w:szCs w:val="24"/>
        </w:rPr>
        <w:t>close to being accepted</w:t>
      </w:r>
      <w:r w:rsidR="00E45B5C" w:rsidRPr="00CF56E1">
        <w:rPr>
          <w:rFonts w:ascii="Verdana" w:hAnsi="Verdana" w:cs="Times New Roman"/>
          <w:sz w:val="24"/>
          <w:szCs w:val="24"/>
        </w:rPr>
        <w:t xml:space="preserve"> before deficiencies in the </w:t>
      </w:r>
      <w:r w:rsidR="00CF56E1" w:rsidRPr="00CF56E1">
        <w:rPr>
          <w:rFonts w:ascii="Verdana" w:hAnsi="Verdana" w:cs="Times New Roman"/>
          <w:sz w:val="24"/>
          <w:szCs w:val="24"/>
        </w:rPr>
        <w:t>Uganda</w:t>
      </w:r>
      <w:r w:rsidR="00E45B5C" w:rsidRPr="00CF56E1">
        <w:rPr>
          <w:rFonts w:ascii="Verdana" w:hAnsi="Verdana" w:cs="Times New Roman"/>
          <w:sz w:val="24"/>
          <w:szCs w:val="24"/>
        </w:rPr>
        <w:t xml:space="preserve"> Rotary club were identified.  Reorganizing and re directing our efforts in Nigeria became necessary.  </w:t>
      </w:r>
      <w:r w:rsidRPr="00CF56E1">
        <w:rPr>
          <w:rFonts w:ascii="Verdana" w:hAnsi="Verdana" w:cs="Times New Roman"/>
          <w:sz w:val="24"/>
          <w:szCs w:val="24"/>
        </w:rPr>
        <w:t xml:space="preserve">Having now secured a robust Rotary Chapter in Nigeria, we </w:t>
      </w:r>
      <w:r w:rsidR="00CF56E1" w:rsidRPr="00CF56E1">
        <w:rPr>
          <w:rFonts w:ascii="Verdana" w:hAnsi="Verdana" w:cs="Times New Roman"/>
          <w:sz w:val="24"/>
          <w:szCs w:val="24"/>
        </w:rPr>
        <w:t>have relied</w:t>
      </w:r>
      <w:r w:rsidRPr="00CF56E1">
        <w:rPr>
          <w:rFonts w:ascii="Verdana" w:hAnsi="Verdana" w:cs="Times New Roman"/>
          <w:sz w:val="24"/>
          <w:szCs w:val="24"/>
        </w:rPr>
        <w:t xml:space="preserve"> on the Needs Assessment from Uganda.  </w:t>
      </w:r>
      <w:r w:rsidR="00CF56E1" w:rsidRPr="00CF56E1">
        <w:rPr>
          <w:rFonts w:ascii="Verdana" w:hAnsi="Verdana" w:cs="Times New Roman"/>
          <w:sz w:val="24"/>
          <w:szCs w:val="24"/>
        </w:rPr>
        <w:t xml:space="preserve">Maize (corn) production </w:t>
      </w:r>
      <w:r w:rsidRPr="00CF56E1">
        <w:rPr>
          <w:rFonts w:ascii="Verdana" w:hAnsi="Verdana" w:cs="Times New Roman"/>
          <w:sz w:val="24"/>
          <w:szCs w:val="24"/>
        </w:rPr>
        <w:t xml:space="preserve">is very similar in much of </w:t>
      </w:r>
      <w:r w:rsidR="006D706B" w:rsidRPr="00CF56E1">
        <w:rPr>
          <w:rFonts w:ascii="Verdana" w:hAnsi="Verdana" w:cs="Times New Roman"/>
          <w:sz w:val="24"/>
          <w:szCs w:val="24"/>
        </w:rPr>
        <w:t>sub-Saharan</w:t>
      </w:r>
      <w:r w:rsidRPr="00CF56E1">
        <w:rPr>
          <w:rFonts w:ascii="Verdana" w:hAnsi="Verdana" w:cs="Times New Roman"/>
          <w:sz w:val="24"/>
          <w:szCs w:val="24"/>
        </w:rPr>
        <w:t xml:space="preserve"> Africa</w:t>
      </w:r>
      <w:r w:rsidR="004F3A8D" w:rsidRPr="00CF56E1">
        <w:rPr>
          <w:rFonts w:ascii="Verdana" w:hAnsi="Verdana" w:cs="Times New Roman"/>
          <w:sz w:val="24"/>
          <w:szCs w:val="24"/>
        </w:rPr>
        <w:t xml:space="preserve"> (Badu-</w:t>
      </w:r>
      <w:proofErr w:type="spellStart"/>
      <w:r w:rsidR="004F3A8D" w:rsidRPr="00CF56E1">
        <w:rPr>
          <w:rFonts w:ascii="Verdana" w:hAnsi="Verdana" w:cs="Times New Roman"/>
          <w:sz w:val="24"/>
          <w:szCs w:val="24"/>
        </w:rPr>
        <w:t>Apraku</w:t>
      </w:r>
      <w:proofErr w:type="spellEnd"/>
      <w:r w:rsidR="004F3A8D" w:rsidRPr="00CF56E1">
        <w:rPr>
          <w:rFonts w:ascii="Verdana" w:hAnsi="Verdana" w:cs="Times New Roman"/>
          <w:sz w:val="24"/>
          <w:szCs w:val="24"/>
        </w:rPr>
        <w:t xml:space="preserve"> et al., 2017) and thus the reason for using this information that was prepared for the original </w:t>
      </w:r>
      <w:r w:rsidR="00CF56E1" w:rsidRPr="00CF56E1">
        <w:rPr>
          <w:rFonts w:ascii="Verdana" w:hAnsi="Verdana" w:cs="Times New Roman"/>
          <w:sz w:val="24"/>
          <w:szCs w:val="24"/>
        </w:rPr>
        <w:t xml:space="preserve">Uganda </w:t>
      </w:r>
      <w:r w:rsidR="004F3A8D" w:rsidRPr="00CF56E1">
        <w:rPr>
          <w:rFonts w:ascii="Verdana" w:hAnsi="Verdana" w:cs="Times New Roman"/>
          <w:sz w:val="24"/>
          <w:szCs w:val="24"/>
        </w:rPr>
        <w:t xml:space="preserve">proposal submitted to Rotary International.  As a small university project, we </w:t>
      </w:r>
      <w:r w:rsidR="00CF56E1" w:rsidRPr="00CF56E1">
        <w:rPr>
          <w:rFonts w:ascii="Verdana" w:hAnsi="Verdana" w:cs="Times New Roman"/>
          <w:sz w:val="24"/>
          <w:szCs w:val="24"/>
        </w:rPr>
        <w:t>do</w:t>
      </w:r>
      <w:r w:rsidR="004F3A8D" w:rsidRPr="00CF56E1">
        <w:rPr>
          <w:rFonts w:ascii="Verdana" w:hAnsi="Verdana" w:cs="Times New Roman"/>
          <w:sz w:val="24"/>
          <w:szCs w:val="24"/>
        </w:rPr>
        <w:t xml:space="preserve"> not have the horsepower/people/resources to reproduce this study/information </w:t>
      </w:r>
      <w:r w:rsidR="00CF56E1" w:rsidRPr="00CF56E1">
        <w:rPr>
          <w:rFonts w:ascii="Verdana" w:hAnsi="Verdana" w:cs="Times New Roman"/>
          <w:sz w:val="24"/>
          <w:szCs w:val="24"/>
        </w:rPr>
        <w:t>for</w:t>
      </w:r>
      <w:r w:rsidR="004F3A8D" w:rsidRPr="00CF56E1">
        <w:rPr>
          <w:rFonts w:ascii="Verdana" w:hAnsi="Verdana" w:cs="Times New Roman"/>
          <w:sz w:val="24"/>
          <w:szCs w:val="24"/>
        </w:rPr>
        <w:t xml:space="preserve"> Nigeria, but where our </w:t>
      </w:r>
      <w:r w:rsidR="000D2396">
        <w:rPr>
          <w:rFonts w:ascii="Verdana" w:hAnsi="Verdana" w:cs="Times New Roman"/>
          <w:sz w:val="24"/>
          <w:szCs w:val="24"/>
        </w:rPr>
        <w:t xml:space="preserve">global </w:t>
      </w:r>
      <w:r w:rsidR="004F3A8D" w:rsidRPr="00CF56E1">
        <w:rPr>
          <w:rFonts w:ascii="Verdana" w:hAnsi="Verdana" w:cs="Times New Roman"/>
          <w:sz w:val="24"/>
          <w:szCs w:val="24"/>
        </w:rPr>
        <w:t>experience suggests that the maize production issues in both countries shou</w:t>
      </w:r>
      <w:bookmarkStart w:id="0" w:name="_GoBack"/>
      <w:bookmarkEnd w:id="0"/>
      <w:r w:rsidR="004F3A8D" w:rsidRPr="00CF56E1">
        <w:rPr>
          <w:rFonts w:ascii="Verdana" w:hAnsi="Verdana" w:cs="Times New Roman"/>
          <w:sz w:val="24"/>
          <w:szCs w:val="24"/>
        </w:rPr>
        <w:t>ld be the same.</w:t>
      </w:r>
    </w:p>
    <w:p w14:paraId="48A79AFC" w14:textId="77777777" w:rsidR="00E43EE7" w:rsidRPr="00CF56E1" w:rsidRDefault="00E43EE7" w:rsidP="00C11BF2">
      <w:pPr>
        <w:spacing w:line="360" w:lineRule="auto"/>
        <w:rPr>
          <w:rFonts w:ascii="Verdana" w:hAnsi="Verdana" w:cs="Times New Roman"/>
          <w:b/>
          <w:sz w:val="24"/>
          <w:szCs w:val="24"/>
        </w:rPr>
      </w:pPr>
    </w:p>
    <w:p w14:paraId="2C512FB5" w14:textId="60F19D9F" w:rsidR="00B103B1" w:rsidRPr="00CF56E1" w:rsidRDefault="00B103B1" w:rsidP="00C11BF2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 xml:space="preserve">Introduction </w:t>
      </w:r>
    </w:p>
    <w:p w14:paraId="41A00147" w14:textId="7347E4CC" w:rsidR="002D7D16" w:rsidRPr="00CF56E1" w:rsidRDefault="007B6A0D" w:rsidP="00C11BF2">
      <w:pPr>
        <w:spacing w:line="360" w:lineRule="auto"/>
        <w:ind w:firstLine="720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sz w:val="24"/>
          <w:szCs w:val="24"/>
        </w:rPr>
        <w:t xml:space="preserve">Agriculture is the mainstay of </w:t>
      </w:r>
      <w:r w:rsidR="00965461" w:rsidRPr="00CF56E1">
        <w:rPr>
          <w:rFonts w:ascii="Verdana" w:hAnsi="Verdana" w:cs="Times New Roman"/>
          <w:sz w:val="24"/>
          <w:szCs w:val="24"/>
        </w:rPr>
        <w:t>Nigeria’s</w:t>
      </w:r>
      <w:r w:rsidRPr="00CF56E1">
        <w:rPr>
          <w:rFonts w:ascii="Verdana" w:hAnsi="Verdana" w:cs="Times New Roman"/>
          <w:sz w:val="24"/>
          <w:szCs w:val="24"/>
        </w:rPr>
        <w:t xml:space="preserve"> economy and </w:t>
      </w:r>
      <w:r w:rsidR="0028640F" w:rsidRPr="00CF56E1">
        <w:rPr>
          <w:rFonts w:ascii="Verdana" w:hAnsi="Verdana" w:cs="Times New Roman"/>
          <w:sz w:val="24"/>
          <w:szCs w:val="24"/>
        </w:rPr>
        <w:t xml:space="preserve">that </w:t>
      </w:r>
      <w:r w:rsidRPr="00CF56E1">
        <w:rPr>
          <w:rFonts w:ascii="Verdana" w:hAnsi="Verdana" w:cs="Times New Roman"/>
          <w:sz w:val="24"/>
          <w:szCs w:val="24"/>
        </w:rPr>
        <w:t>employ</w:t>
      </w:r>
      <w:r w:rsidR="003F52F0" w:rsidRPr="00CF56E1">
        <w:rPr>
          <w:rFonts w:ascii="Verdana" w:hAnsi="Verdana" w:cs="Times New Roman"/>
          <w:sz w:val="24"/>
          <w:szCs w:val="24"/>
        </w:rPr>
        <w:t>ed</w:t>
      </w:r>
      <w:r w:rsidRPr="00CF56E1">
        <w:rPr>
          <w:rFonts w:ascii="Verdana" w:hAnsi="Verdana" w:cs="Times New Roman"/>
          <w:sz w:val="24"/>
          <w:szCs w:val="24"/>
        </w:rPr>
        <w:t xml:space="preserve"> nearly 40 percent of the population in </w:t>
      </w:r>
      <w:r w:rsidR="00F17A59" w:rsidRPr="00CF56E1">
        <w:rPr>
          <w:rFonts w:ascii="Verdana" w:hAnsi="Verdana" w:cs="Times New Roman"/>
          <w:sz w:val="24"/>
          <w:szCs w:val="24"/>
        </w:rPr>
        <w:t>2018</w:t>
      </w:r>
      <w:r w:rsidR="007C3504" w:rsidRPr="00CF56E1">
        <w:rPr>
          <w:rFonts w:ascii="Verdana" w:hAnsi="Verdana" w:cs="Times New Roman"/>
          <w:sz w:val="24"/>
          <w:szCs w:val="24"/>
        </w:rPr>
        <w:t>. Like many countries in S</w:t>
      </w:r>
      <w:r w:rsidRPr="00CF56E1">
        <w:rPr>
          <w:rFonts w:ascii="Verdana" w:hAnsi="Verdana" w:cs="Times New Roman"/>
          <w:sz w:val="24"/>
          <w:szCs w:val="24"/>
        </w:rPr>
        <w:t>ub Saharan Africa, low crop yield</w:t>
      </w:r>
      <w:r w:rsidR="003F52F0" w:rsidRPr="00CF56E1">
        <w:rPr>
          <w:rFonts w:ascii="Verdana" w:hAnsi="Verdana" w:cs="Times New Roman"/>
          <w:sz w:val="24"/>
          <w:szCs w:val="24"/>
        </w:rPr>
        <w:t>s</w:t>
      </w:r>
      <w:r w:rsidRPr="00CF56E1">
        <w:rPr>
          <w:rFonts w:ascii="Verdana" w:hAnsi="Verdana" w:cs="Times New Roman"/>
          <w:sz w:val="24"/>
          <w:szCs w:val="24"/>
        </w:rPr>
        <w:t xml:space="preserve"> </w:t>
      </w:r>
      <w:r w:rsidR="00311A66" w:rsidRPr="00CF56E1">
        <w:rPr>
          <w:rFonts w:ascii="Verdana" w:hAnsi="Verdana" w:cs="Times New Roman"/>
          <w:sz w:val="24"/>
          <w:szCs w:val="24"/>
        </w:rPr>
        <w:t xml:space="preserve">are </w:t>
      </w:r>
      <w:r w:rsidRPr="00CF56E1">
        <w:rPr>
          <w:rFonts w:ascii="Verdana" w:hAnsi="Verdana" w:cs="Times New Roman"/>
          <w:sz w:val="24"/>
          <w:szCs w:val="24"/>
        </w:rPr>
        <w:t xml:space="preserve">a major factor </w:t>
      </w:r>
      <w:r w:rsidR="00A57817" w:rsidRPr="00CF56E1">
        <w:rPr>
          <w:rFonts w:ascii="Verdana" w:hAnsi="Verdana" w:cs="Times New Roman"/>
          <w:sz w:val="24"/>
          <w:szCs w:val="24"/>
        </w:rPr>
        <w:t>that has led to</w:t>
      </w:r>
      <w:r w:rsidRPr="00CF56E1">
        <w:rPr>
          <w:rFonts w:ascii="Verdana" w:hAnsi="Verdana" w:cs="Times New Roman"/>
          <w:sz w:val="24"/>
          <w:szCs w:val="24"/>
        </w:rPr>
        <w:t xml:space="preserve"> severe food insecurity. There are numerous factors that contribute to low crop yield</w:t>
      </w:r>
      <w:r w:rsidR="003F52F0" w:rsidRPr="00CF56E1">
        <w:rPr>
          <w:rFonts w:ascii="Verdana" w:hAnsi="Verdana" w:cs="Times New Roman"/>
          <w:sz w:val="24"/>
          <w:szCs w:val="24"/>
        </w:rPr>
        <w:t>s</w:t>
      </w:r>
      <w:r w:rsidRPr="00CF56E1">
        <w:rPr>
          <w:rFonts w:ascii="Verdana" w:hAnsi="Verdana" w:cs="Times New Roman"/>
          <w:sz w:val="24"/>
          <w:szCs w:val="24"/>
        </w:rPr>
        <w:t xml:space="preserve"> but important to note is poor production methods and tools</w:t>
      </w:r>
      <w:r w:rsidR="00164024" w:rsidRPr="00CF56E1">
        <w:rPr>
          <w:rFonts w:ascii="Verdana" w:hAnsi="Verdana" w:cs="Times New Roman"/>
          <w:sz w:val="24"/>
          <w:szCs w:val="24"/>
        </w:rPr>
        <w:t xml:space="preserve"> commonplace in developing countries, including </w:t>
      </w:r>
      <w:r w:rsidR="00F17A59" w:rsidRPr="00CF56E1">
        <w:rPr>
          <w:rFonts w:ascii="Verdana" w:hAnsi="Verdana" w:cs="Times New Roman"/>
          <w:sz w:val="24"/>
          <w:szCs w:val="24"/>
        </w:rPr>
        <w:t>Nigeria</w:t>
      </w:r>
      <w:r w:rsidRPr="00CF56E1">
        <w:rPr>
          <w:rFonts w:ascii="Verdana" w:hAnsi="Verdana" w:cs="Times New Roman"/>
          <w:sz w:val="24"/>
          <w:szCs w:val="24"/>
        </w:rPr>
        <w:t>.</w:t>
      </w:r>
    </w:p>
    <w:p w14:paraId="325DE86C" w14:textId="4957AECF" w:rsidR="002D7D16" w:rsidRPr="00CF56E1" w:rsidRDefault="00840CA0" w:rsidP="00C11BF2">
      <w:pPr>
        <w:spacing w:line="36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F56E1">
        <w:rPr>
          <w:rFonts w:ascii="Verdana" w:eastAsia="Times New Roman" w:hAnsi="Verdana" w:cs="Times New Roman"/>
          <w:color w:val="000000"/>
          <w:sz w:val="24"/>
          <w:szCs w:val="24"/>
        </w:rPr>
        <w:t xml:space="preserve">The World Bank provides data for Nigeria from 1991 to 2018, and that lists </w:t>
      </w:r>
      <w:r w:rsidR="002D7D16" w:rsidRPr="00CF56E1">
        <w:rPr>
          <w:rFonts w:ascii="Verdana" w:eastAsia="Times New Roman" w:hAnsi="Verdana" w:cs="Times New Roman"/>
          <w:bCs/>
          <w:color w:val="000000"/>
          <w:spacing w:val="3"/>
          <w:sz w:val="24"/>
          <w:szCs w:val="24"/>
        </w:rPr>
        <w:t xml:space="preserve">Nigerian employment in agriculture, using </w:t>
      </w:r>
      <w:r w:rsidRPr="00CF56E1">
        <w:rPr>
          <w:rFonts w:ascii="Verdana" w:eastAsia="Times New Roman" w:hAnsi="Verdana" w:cs="Times New Roman"/>
          <w:bCs/>
          <w:color w:val="000000"/>
          <w:spacing w:val="3"/>
          <w:sz w:val="24"/>
          <w:szCs w:val="24"/>
        </w:rPr>
        <w:t xml:space="preserve">an </w:t>
      </w:r>
      <w:r w:rsidR="002D7D16" w:rsidRPr="00CF56E1">
        <w:rPr>
          <w:rFonts w:ascii="Verdana" w:eastAsia="Times New Roman" w:hAnsi="Verdana" w:cs="Times New Roman"/>
          <w:bCs/>
          <w:color w:val="000000"/>
          <w:spacing w:val="3"/>
          <w:sz w:val="24"/>
          <w:szCs w:val="24"/>
        </w:rPr>
        <w:t xml:space="preserve">indicator </w:t>
      </w:r>
      <w:r w:rsidR="00A57817" w:rsidRPr="00CF56E1">
        <w:rPr>
          <w:rFonts w:ascii="Verdana" w:eastAsia="Times New Roman" w:hAnsi="Verdana" w:cs="Times New Roman"/>
          <w:bCs/>
          <w:color w:val="000000"/>
          <w:spacing w:val="3"/>
          <w:sz w:val="24"/>
          <w:szCs w:val="24"/>
        </w:rPr>
        <w:t>percent</w:t>
      </w:r>
      <w:r w:rsidR="002D7D16" w:rsidRPr="00CF56E1">
        <w:rPr>
          <w:rFonts w:ascii="Verdana" w:eastAsia="Times New Roman" w:hAnsi="Verdana" w:cs="Times New Roman"/>
          <w:bCs/>
          <w:color w:val="000000"/>
          <w:spacing w:val="3"/>
          <w:sz w:val="24"/>
          <w:szCs w:val="24"/>
        </w:rPr>
        <w:t xml:space="preserve"> </w:t>
      </w:r>
      <w:r w:rsidRPr="00CF56E1">
        <w:rPr>
          <w:rFonts w:ascii="Verdana" w:eastAsia="Times New Roman" w:hAnsi="Verdana" w:cs="Times New Roman"/>
          <w:bCs/>
          <w:color w:val="000000"/>
          <w:spacing w:val="3"/>
          <w:sz w:val="24"/>
          <w:szCs w:val="24"/>
        </w:rPr>
        <w:t xml:space="preserve">for </w:t>
      </w:r>
      <w:r w:rsidR="00A57817" w:rsidRPr="00CF56E1">
        <w:rPr>
          <w:rFonts w:ascii="Verdana" w:eastAsia="Times New Roman" w:hAnsi="Verdana" w:cs="Times New Roman"/>
          <w:bCs/>
          <w:color w:val="000000"/>
          <w:spacing w:val="3"/>
          <w:sz w:val="24"/>
          <w:szCs w:val="24"/>
        </w:rPr>
        <w:t>total employment.</w:t>
      </w:r>
      <w:r w:rsidR="002D7D16" w:rsidRPr="00CF56E1">
        <w:rPr>
          <w:rFonts w:ascii="Verdana" w:eastAsia="Times New Roman" w:hAnsi="Verdana" w:cs="Times New Roman"/>
          <w:color w:val="000000"/>
          <w:sz w:val="24"/>
          <w:szCs w:val="24"/>
        </w:rPr>
        <w:t xml:space="preserve"> The average value for Nigeria during that period was 44.29 percent with a minimum of 36.62 percent in 2018 and a maximum of 50.17 percent in 1992. It is important to recall that in 2017, agriculture contributed 20.85 percent to Nigeria’s GDP, </w:t>
      </w:r>
      <w:r w:rsidRPr="00CF56E1">
        <w:rPr>
          <w:rFonts w:ascii="Verdana" w:eastAsia="Times New Roman" w:hAnsi="Verdana" w:cs="Times New Roman"/>
          <w:color w:val="000000"/>
          <w:sz w:val="24"/>
          <w:szCs w:val="24"/>
        </w:rPr>
        <w:t xml:space="preserve">and where </w:t>
      </w:r>
      <w:r w:rsidR="002D7D16" w:rsidRPr="00CF56E1">
        <w:rPr>
          <w:rFonts w:ascii="Verdana" w:eastAsia="Times New Roman" w:hAnsi="Verdana" w:cs="Times New Roman"/>
          <w:color w:val="000000"/>
          <w:sz w:val="24"/>
          <w:szCs w:val="24"/>
        </w:rPr>
        <w:t>22.32 percent came from industry, and 55.8 percent from the services sector</w:t>
      </w:r>
      <w:r w:rsidR="00ED7112" w:rsidRPr="00CF56E1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  <w:r w:rsidR="004A54F3" w:rsidRPr="00CF56E1">
        <w:rPr>
          <w:rFonts w:ascii="Verdana" w:eastAsia="Times New Roman" w:hAnsi="Verdana" w:cs="Times New Roman"/>
          <w:color w:val="000000"/>
          <w:sz w:val="24"/>
          <w:szCs w:val="24"/>
        </w:rPr>
        <w:t xml:space="preserve"> (See annex. </w:t>
      </w:r>
      <w:r w:rsidR="002D7D16" w:rsidRPr="00CF56E1">
        <w:rPr>
          <w:rFonts w:ascii="Verdana" w:eastAsia="Times New Roman" w:hAnsi="Verdana" w:cs="Times New Roman"/>
          <w:color w:val="000000"/>
          <w:sz w:val="24"/>
          <w:szCs w:val="24"/>
        </w:rPr>
        <w:t>Source</w:t>
      </w:r>
      <w:r w:rsidR="004A54F3" w:rsidRPr="00CF56E1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="002D7D16" w:rsidRPr="00CF56E1">
        <w:rPr>
          <w:rFonts w:ascii="Verdana" w:eastAsia="Times New Roman" w:hAnsi="Verdana" w:cs="Times New Roman"/>
          <w:color w:val="000000"/>
          <w:sz w:val="24"/>
          <w:szCs w:val="24"/>
        </w:rPr>
        <w:t>https://www.theglobaleconomy.com/Nigeria/Employment_in_agriculture/)</w:t>
      </w:r>
    </w:p>
    <w:p w14:paraId="57AA32BA" w14:textId="03D1237C" w:rsidR="007B6A0D" w:rsidRPr="00CF56E1" w:rsidRDefault="007B6A0D" w:rsidP="00C11BF2">
      <w:pPr>
        <w:spacing w:line="360" w:lineRule="auto"/>
        <w:ind w:firstLine="720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sz w:val="24"/>
          <w:szCs w:val="24"/>
        </w:rPr>
        <w:lastRenderedPageBreak/>
        <w:t xml:space="preserve">A </w:t>
      </w:r>
      <w:r w:rsidR="00F17A59" w:rsidRPr="00CF56E1">
        <w:rPr>
          <w:rFonts w:ascii="Verdana" w:hAnsi="Verdana" w:cs="Times New Roman"/>
          <w:sz w:val="24"/>
          <w:szCs w:val="24"/>
        </w:rPr>
        <w:t>pilot study</w:t>
      </w:r>
      <w:r w:rsidRPr="00CF56E1">
        <w:rPr>
          <w:rFonts w:ascii="Verdana" w:hAnsi="Verdana" w:cs="Times New Roman"/>
          <w:sz w:val="24"/>
          <w:szCs w:val="24"/>
        </w:rPr>
        <w:t xml:space="preserve"> </w:t>
      </w:r>
      <w:r w:rsidR="004F3A8D" w:rsidRPr="00CF56E1">
        <w:rPr>
          <w:rFonts w:ascii="Verdana" w:hAnsi="Verdana" w:cs="Times New Roman"/>
          <w:sz w:val="24"/>
          <w:szCs w:val="24"/>
        </w:rPr>
        <w:t>was</w:t>
      </w:r>
      <w:r w:rsidR="00F17A59" w:rsidRPr="00CF56E1">
        <w:rPr>
          <w:rFonts w:ascii="Verdana" w:hAnsi="Verdana" w:cs="Times New Roman"/>
          <w:sz w:val="24"/>
          <w:szCs w:val="24"/>
        </w:rPr>
        <w:t xml:space="preserve"> proposed for implementation </w:t>
      </w:r>
      <w:r w:rsidRPr="00CF56E1">
        <w:rPr>
          <w:rFonts w:ascii="Verdana" w:hAnsi="Verdana" w:cs="Times New Roman"/>
          <w:sz w:val="24"/>
          <w:szCs w:val="24"/>
        </w:rPr>
        <w:t>in the North</w:t>
      </w:r>
      <w:r w:rsidR="00F17A59" w:rsidRPr="00CF56E1">
        <w:rPr>
          <w:rFonts w:ascii="Verdana" w:hAnsi="Verdana" w:cs="Times New Roman"/>
          <w:sz w:val="24"/>
          <w:szCs w:val="24"/>
        </w:rPr>
        <w:t>-C</w:t>
      </w:r>
      <w:r w:rsidRPr="00CF56E1">
        <w:rPr>
          <w:rFonts w:ascii="Verdana" w:hAnsi="Verdana" w:cs="Times New Roman"/>
          <w:sz w:val="24"/>
          <w:szCs w:val="24"/>
        </w:rPr>
        <w:t>en</w:t>
      </w:r>
      <w:r w:rsidR="00F17A59" w:rsidRPr="00CF56E1">
        <w:rPr>
          <w:rFonts w:ascii="Verdana" w:hAnsi="Verdana" w:cs="Times New Roman"/>
          <w:sz w:val="24"/>
          <w:szCs w:val="24"/>
        </w:rPr>
        <w:t>tral</w:t>
      </w:r>
      <w:r w:rsidRPr="00CF56E1">
        <w:rPr>
          <w:rFonts w:ascii="Verdana" w:hAnsi="Verdana" w:cs="Times New Roman"/>
          <w:sz w:val="24"/>
          <w:szCs w:val="24"/>
        </w:rPr>
        <w:t xml:space="preserve"> part of the country </w:t>
      </w:r>
      <w:r w:rsidR="00F17A59" w:rsidRPr="00CF56E1">
        <w:rPr>
          <w:rFonts w:ascii="Verdana" w:hAnsi="Verdana" w:cs="Times New Roman"/>
          <w:sz w:val="24"/>
          <w:szCs w:val="24"/>
        </w:rPr>
        <w:t xml:space="preserve">(Benue, </w:t>
      </w:r>
      <w:proofErr w:type="spellStart"/>
      <w:r w:rsidR="00F17A59" w:rsidRPr="00CF56E1">
        <w:rPr>
          <w:rFonts w:ascii="Verdana" w:hAnsi="Verdana" w:cs="Times New Roman"/>
          <w:sz w:val="24"/>
          <w:szCs w:val="24"/>
        </w:rPr>
        <w:t>Nassarawa</w:t>
      </w:r>
      <w:proofErr w:type="spellEnd"/>
      <w:r w:rsidR="00F17A59" w:rsidRPr="00CF56E1">
        <w:rPr>
          <w:rFonts w:ascii="Verdana" w:hAnsi="Verdana" w:cs="Times New Roman"/>
          <w:sz w:val="24"/>
          <w:szCs w:val="24"/>
        </w:rPr>
        <w:t xml:space="preserve"> and the Federal Capital Terri</w:t>
      </w:r>
      <w:r w:rsidRPr="00CF56E1">
        <w:rPr>
          <w:rFonts w:ascii="Verdana" w:hAnsi="Verdana" w:cs="Times New Roman"/>
          <w:sz w:val="24"/>
          <w:szCs w:val="24"/>
        </w:rPr>
        <w:t>t</w:t>
      </w:r>
      <w:r w:rsidR="00F17A59" w:rsidRPr="00CF56E1">
        <w:rPr>
          <w:rFonts w:ascii="Verdana" w:hAnsi="Verdana" w:cs="Times New Roman"/>
          <w:sz w:val="24"/>
          <w:szCs w:val="24"/>
        </w:rPr>
        <w:t>ory) specifically t</w:t>
      </w:r>
      <w:r w:rsidRPr="00CF56E1">
        <w:rPr>
          <w:rFonts w:ascii="Verdana" w:hAnsi="Verdana" w:cs="Times New Roman"/>
          <w:sz w:val="24"/>
          <w:szCs w:val="24"/>
        </w:rPr>
        <w:t>o assess the major production challenges farmers face</w:t>
      </w:r>
      <w:r w:rsidR="00B103B1" w:rsidRPr="00CF56E1">
        <w:rPr>
          <w:rFonts w:ascii="Verdana" w:hAnsi="Verdana" w:cs="Times New Roman"/>
          <w:sz w:val="24"/>
          <w:szCs w:val="24"/>
        </w:rPr>
        <w:t xml:space="preserve">, with focus on using the </w:t>
      </w:r>
      <w:proofErr w:type="spellStart"/>
      <w:r w:rsidR="00311A66" w:rsidRPr="00CF56E1">
        <w:rPr>
          <w:rFonts w:ascii="Verdana" w:hAnsi="Verdana" w:cs="Times New Roman"/>
          <w:sz w:val="24"/>
          <w:szCs w:val="24"/>
        </w:rPr>
        <w:t>G</w:t>
      </w:r>
      <w:r w:rsidR="00B103B1" w:rsidRPr="00CF56E1">
        <w:rPr>
          <w:rFonts w:ascii="Verdana" w:hAnsi="Verdana" w:cs="Times New Roman"/>
          <w:sz w:val="24"/>
          <w:szCs w:val="24"/>
        </w:rPr>
        <w:t>reen</w:t>
      </w:r>
      <w:r w:rsidR="000A4B17" w:rsidRPr="00CF56E1">
        <w:rPr>
          <w:rFonts w:ascii="Verdana" w:hAnsi="Verdana" w:cs="Times New Roman"/>
          <w:sz w:val="24"/>
          <w:szCs w:val="24"/>
        </w:rPr>
        <w:t>s</w:t>
      </w:r>
      <w:r w:rsidR="00B103B1" w:rsidRPr="00CF56E1">
        <w:rPr>
          <w:rFonts w:ascii="Verdana" w:hAnsi="Verdana" w:cs="Times New Roman"/>
          <w:sz w:val="24"/>
          <w:szCs w:val="24"/>
        </w:rPr>
        <w:t>eeder</w:t>
      </w:r>
      <w:proofErr w:type="spellEnd"/>
      <w:r w:rsidR="00B103B1" w:rsidRPr="00CF56E1">
        <w:rPr>
          <w:rFonts w:ascii="Verdana" w:hAnsi="Verdana" w:cs="Times New Roman"/>
          <w:sz w:val="24"/>
          <w:szCs w:val="24"/>
        </w:rPr>
        <w:t xml:space="preserve"> </w:t>
      </w:r>
      <w:r w:rsidR="00BE0EE8" w:rsidRPr="00CF56E1">
        <w:rPr>
          <w:rFonts w:ascii="Verdana" w:hAnsi="Verdana" w:cs="Times New Roman"/>
          <w:sz w:val="24"/>
          <w:szCs w:val="24"/>
        </w:rPr>
        <w:t xml:space="preserve">hand </w:t>
      </w:r>
      <w:r w:rsidR="00B103B1" w:rsidRPr="00CF56E1">
        <w:rPr>
          <w:rFonts w:ascii="Verdana" w:hAnsi="Verdana" w:cs="Times New Roman"/>
          <w:sz w:val="24"/>
          <w:szCs w:val="24"/>
        </w:rPr>
        <w:t>planter developed at Oklahoma Sta</w:t>
      </w:r>
      <w:r w:rsidR="00BE0EE8" w:rsidRPr="00CF56E1">
        <w:rPr>
          <w:rFonts w:ascii="Verdana" w:hAnsi="Verdana" w:cs="Times New Roman"/>
          <w:sz w:val="24"/>
          <w:szCs w:val="24"/>
        </w:rPr>
        <w:t>te University</w:t>
      </w:r>
      <w:r w:rsidR="00D1589E" w:rsidRPr="00CF56E1">
        <w:rPr>
          <w:rFonts w:ascii="Verdana" w:hAnsi="Verdana" w:cs="Times New Roman"/>
          <w:sz w:val="24"/>
          <w:szCs w:val="24"/>
        </w:rPr>
        <w:t xml:space="preserve"> that has been thoroughly evaluated for efficiency and engineering tolerance (Omara et al., 2016)</w:t>
      </w:r>
      <w:r w:rsidR="00BE0EE8" w:rsidRPr="00CF56E1">
        <w:rPr>
          <w:rFonts w:ascii="Verdana" w:hAnsi="Verdana" w:cs="Times New Roman"/>
          <w:sz w:val="24"/>
          <w:szCs w:val="24"/>
        </w:rPr>
        <w:t xml:space="preserve">. The tool has </w:t>
      </w:r>
      <w:r w:rsidR="000E517B" w:rsidRPr="00CF56E1">
        <w:rPr>
          <w:rFonts w:ascii="Verdana" w:hAnsi="Verdana" w:cs="Times New Roman"/>
          <w:sz w:val="24"/>
          <w:szCs w:val="24"/>
        </w:rPr>
        <w:t>under</w:t>
      </w:r>
      <w:r w:rsidR="00B103B1" w:rsidRPr="00CF56E1">
        <w:rPr>
          <w:rFonts w:ascii="Verdana" w:hAnsi="Verdana" w:cs="Times New Roman"/>
          <w:sz w:val="24"/>
          <w:szCs w:val="24"/>
        </w:rPr>
        <w:t>gone rigorous testing and evaluation in man</w:t>
      </w:r>
      <w:r w:rsidR="006E4C66" w:rsidRPr="00CF56E1">
        <w:rPr>
          <w:rFonts w:ascii="Verdana" w:hAnsi="Verdana" w:cs="Times New Roman"/>
          <w:sz w:val="24"/>
          <w:szCs w:val="24"/>
        </w:rPr>
        <w:t xml:space="preserve">y parts of the world including </w:t>
      </w:r>
      <w:r w:rsidR="00AE3A1E" w:rsidRPr="00CF56E1">
        <w:rPr>
          <w:rFonts w:ascii="Verdana" w:hAnsi="Verdana" w:cs="Times New Roman"/>
          <w:sz w:val="24"/>
          <w:szCs w:val="24"/>
        </w:rPr>
        <w:t>Nigeri</w:t>
      </w:r>
      <w:r w:rsidR="00B103B1" w:rsidRPr="00CF56E1">
        <w:rPr>
          <w:rFonts w:ascii="Verdana" w:hAnsi="Verdana" w:cs="Times New Roman"/>
          <w:sz w:val="24"/>
          <w:szCs w:val="24"/>
        </w:rPr>
        <w:t>a</w:t>
      </w:r>
      <w:r w:rsidR="006E70D8" w:rsidRPr="00CF56E1">
        <w:rPr>
          <w:rFonts w:ascii="Verdana" w:hAnsi="Verdana" w:cs="Times New Roman"/>
          <w:sz w:val="24"/>
          <w:szCs w:val="24"/>
        </w:rPr>
        <w:t xml:space="preserve"> and Uganda</w:t>
      </w:r>
      <w:r w:rsidR="00B103B1" w:rsidRPr="00CF56E1">
        <w:rPr>
          <w:rFonts w:ascii="Verdana" w:hAnsi="Verdana" w:cs="Times New Roman"/>
          <w:sz w:val="24"/>
          <w:szCs w:val="24"/>
        </w:rPr>
        <w:t xml:space="preserve">. </w:t>
      </w:r>
      <w:r w:rsidR="00F17A59" w:rsidRPr="00CF56E1">
        <w:rPr>
          <w:rFonts w:ascii="Verdana" w:hAnsi="Verdana" w:cs="Times New Roman"/>
          <w:sz w:val="24"/>
          <w:szCs w:val="24"/>
        </w:rPr>
        <w:t xml:space="preserve">Study participants </w:t>
      </w:r>
      <w:r w:rsidR="004F3A8D" w:rsidRPr="00CF56E1">
        <w:rPr>
          <w:rFonts w:ascii="Verdana" w:hAnsi="Verdana" w:cs="Times New Roman"/>
          <w:sz w:val="24"/>
          <w:szCs w:val="24"/>
        </w:rPr>
        <w:t>have</w:t>
      </w:r>
      <w:r w:rsidR="00F17A59" w:rsidRPr="00CF56E1">
        <w:rPr>
          <w:rFonts w:ascii="Verdana" w:hAnsi="Verdana" w:cs="Times New Roman"/>
          <w:sz w:val="24"/>
          <w:szCs w:val="24"/>
        </w:rPr>
        <w:t xml:space="preserve"> </w:t>
      </w:r>
      <w:r w:rsidR="00B103B1" w:rsidRPr="00CF56E1">
        <w:rPr>
          <w:rFonts w:ascii="Verdana" w:hAnsi="Verdana" w:cs="Times New Roman"/>
          <w:sz w:val="24"/>
          <w:szCs w:val="24"/>
        </w:rPr>
        <w:t>include</w:t>
      </w:r>
      <w:r w:rsidR="004F3A8D" w:rsidRPr="00CF56E1">
        <w:rPr>
          <w:rFonts w:ascii="Verdana" w:hAnsi="Verdana" w:cs="Times New Roman"/>
          <w:sz w:val="24"/>
          <w:szCs w:val="24"/>
        </w:rPr>
        <w:t>d</w:t>
      </w:r>
      <w:r w:rsidR="00B103B1" w:rsidRPr="00CF56E1">
        <w:rPr>
          <w:rFonts w:ascii="Verdana" w:hAnsi="Verdana" w:cs="Times New Roman"/>
          <w:sz w:val="24"/>
          <w:szCs w:val="24"/>
        </w:rPr>
        <w:t xml:space="preserve"> both farmers who have experience using the </w:t>
      </w:r>
      <w:proofErr w:type="spellStart"/>
      <w:r w:rsidR="000A4B17" w:rsidRPr="00CF56E1">
        <w:rPr>
          <w:rFonts w:ascii="Verdana" w:hAnsi="Verdana" w:cs="Times New Roman"/>
          <w:sz w:val="24"/>
          <w:szCs w:val="24"/>
        </w:rPr>
        <w:t>Greenseeder</w:t>
      </w:r>
      <w:proofErr w:type="spellEnd"/>
      <w:r w:rsidR="00B103B1" w:rsidRPr="00CF56E1">
        <w:rPr>
          <w:rFonts w:ascii="Verdana" w:hAnsi="Verdana" w:cs="Times New Roman"/>
          <w:sz w:val="24"/>
          <w:szCs w:val="24"/>
        </w:rPr>
        <w:t xml:space="preserve"> hand planter and those who </w:t>
      </w:r>
      <w:r w:rsidR="00FA780B" w:rsidRPr="00CF56E1">
        <w:rPr>
          <w:rFonts w:ascii="Verdana" w:hAnsi="Verdana" w:cs="Times New Roman"/>
          <w:sz w:val="24"/>
          <w:szCs w:val="24"/>
        </w:rPr>
        <w:t>do</w:t>
      </w:r>
      <w:r w:rsidR="00F17A59" w:rsidRPr="00CF56E1">
        <w:rPr>
          <w:rFonts w:ascii="Verdana" w:hAnsi="Verdana" w:cs="Times New Roman"/>
          <w:sz w:val="24"/>
          <w:szCs w:val="24"/>
        </w:rPr>
        <w:t xml:space="preserve"> not (that is,</w:t>
      </w:r>
      <w:r w:rsidR="004A54F3" w:rsidRPr="00CF56E1">
        <w:rPr>
          <w:rFonts w:ascii="Verdana" w:hAnsi="Verdana" w:cs="Times New Roman"/>
          <w:sz w:val="24"/>
          <w:szCs w:val="24"/>
        </w:rPr>
        <w:t xml:space="preserve"> </w:t>
      </w:r>
      <w:r w:rsidR="00F17A59" w:rsidRPr="00CF56E1">
        <w:rPr>
          <w:rFonts w:ascii="Verdana" w:hAnsi="Verdana" w:cs="Times New Roman"/>
          <w:sz w:val="24"/>
          <w:szCs w:val="24"/>
        </w:rPr>
        <w:t>those using their routine farming tools)</w:t>
      </w:r>
      <w:r w:rsidR="00B103B1" w:rsidRPr="00CF56E1">
        <w:rPr>
          <w:rFonts w:ascii="Verdana" w:hAnsi="Verdana" w:cs="Times New Roman"/>
          <w:sz w:val="24"/>
          <w:szCs w:val="24"/>
        </w:rPr>
        <w:t xml:space="preserve">. </w:t>
      </w:r>
    </w:p>
    <w:p w14:paraId="3768EBF4" w14:textId="5F227481" w:rsidR="00965461" w:rsidRPr="00CF56E1" w:rsidRDefault="00257F22" w:rsidP="00C11BF2">
      <w:pPr>
        <w:spacing w:line="360" w:lineRule="auto"/>
        <w:ind w:firstLine="720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sz w:val="24"/>
          <w:szCs w:val="24"/>
        </w:rPr>
        <w:t>Information collected from farmers include</w:t>
      </w:r>
      <w:r w:rsidR="004F3A8D" w:rsidRPr="00CF56E1">
        <w:rPr>
          <w:rFonts w:ascii="Verdana" w:hAnsi="Verdana" w:cs="Times New Roman"/>
          <w:sz w:val="24"/>
          <w:szCs w:val="24"/>
        </w:rPr>
        <w:t>d</w:t>
      </w:r>
      <w:r w:rsidRPr="00CF56E1">
        <w:rPr>
          <w:rFonts w:ascii="Verdana" w:hAnsi="Verdana" w:cs="Times New Roman"/>
          <w:sz w:val="24"/>
          <w:szCs w:val="24"/>
        </w:rPr>
        <w:t xml:space="preserve"> </w:t>
      </w:r>
      <w:r w:rsidR="00BE0EE8" w:rsidRPr="00CF56E1">
        <w:rPr>
          <w:rFonts w:ascii="Verdana" w:hAnsi="Verdana" w:cs="Times New Roman"/>
          <w:sz w:val="24"/>
          <w:szCs w:val="24"/>
        </w:rPr>
        <w:t>dem</w:t>
      </w:r>
      <w:r w:rsidR="00B103B1" w:rsidRPr="00CF56E1">
        <w:rPr>
          <w:rFonts w:ascii="Verdana" w:hAnsi="Verdana" w:cs="Times New Roman"/>
          <w:sz w:val="24"/>
          <w:szCs w:val="24"/>
        </w:rPr>
        <w:t>ographic characteristics</w:t>
      </w:r>
      <w:r w:rsidRPr="00CF56E1">
        <w:rPr>
          <w:rFonts w:ascii="Verdana" w:hAnsi="Verdana" w:cs="Times New Roman"/>
          <w:sz w:val="24"/>
          <w:szCs w:val="24"/>
        </w:rPr>
        <w:t>, major crop</w:t>
      </w:r>
      <w:r w:rsidR="00C0236D" w:rsidRPr="00CF56E1">
        <w:rPr>
          <w:rFonts w:ascii="Verdana" w:hAnsi="Verdana" w:cs="Times New Roman"/>
          <w:sz w:val="24"/>
          <w:szCs w:val="24"/>
        </w:rPr>
        <w:t>s grown with yield estimates</w:t>
      </w:r>
      <w:r w:rsidRPr="00CF56E1">
        <w:rPr>
          <w:rFonts w:ascii="Verdana" w:hAnsi="Verdana" w:cs="Times New Roman"/>
          <w:sz w:val="24"/>
          <w:szCs w:val="24"/>
        </w:rPr>
        <w:t xml:space="preserve">, </w:t>
      </w:r>
      <w:r w:rsidR="00F078B1" w:rsidRPr="00CF56E1">
        <w:rPr>
          <w:rFonts w:ascii="Verdana" w:hAnsi="Verdana" w:cs="Times New Roman"/>
          <w:sz w:val="24"/>
          <w:szCs w:val="24"/>
        </w:rPr>
        <w:t>major planting tool used</w:t>
      </w:r>
      <w:r w:rsidR="00B103B1" w:rsidRPr="00CF56E1">
        <w:rPr>
          <w:rFonts w:ascii="Verdana" w:hAnsi="Verdana" w:cs="Times New Roman"/>
          <w:sz w:val="24"/>
          <w:szCs w:val="24"/>
        </w:rPr>
        <w:t xml:space="preserve"> and experience in using </w:t>
      </w:r>
      <w:r w:rsidR="000E517B" w:rsidRPr="00CF56E1">
        <w:rPr>
          <w:rFonts w:ascii="Verdana" w:hAnsi="Verdana" w:cs="Times New Roman"/>
          <w:sz w:val="24"/>
          <w:szCs w:val="24"/>
        </w:rPr>
        <w:t xml:space="preserve">the </w:t>
      </w:r>
      <w:proofErr w:type="spellStart"/>
      <w:r w:rsidR="000E517B" w:rsidRPr="00CF56E1">
        <w:rPr>
          <w:rFonts w:ascii="Verdana" w:hAnsi="Verdana" w:cs="Times New Roman"/>
          <w:sz w:val="24"/>
          <w:szCs w:val="24"/>
        </w:rPr>
        <w:t>G</w:t>
      </w:r>
      <w:r w:rsidR="00B103B1" w:rsidRPr="00CF56E1">
        <w:rPr>
          <w:rFonts w:ascii="Verdana" w:hAnsi="Verdana" w:cs="Times New Roman"/>
          <w:sz w:val="24"/>
          <w:szCs w:val="24"/>
        </w:rPr>
        <w:t>reenseeder</w:t>
      </w:r>
      <w:proofErr w:type="spellEnd"/>
      <w:r w:rsidR="00B103B1" w:rsidRPr="00CF56E1">
        <w:rPr>
          <w:rFonts w:ascii="Verdana" w:hAnsi="Verdana" w:cs="Times New Roman"/>
          <w:sz w:val="24"/>
          <w:szCs w:val="24"/>
        </w:rPr>
        <w:t xml:space="preserve"> hand planter</w:t>
      </w:r>
      <w:r w:rsidR="00F078B1" w:rsidRPr="00CF56E1">
        <w:rPr>
          <w:rFonts w:ascii="Verdana" w:hAnsi="Verdana" w:cs="Times New Roman"/>
          <w:sz w:val="24"/>
          <w:szCs w:val="24"/>
        </w:rPr>
        <w:t xml:space="preserve">. Fifty </w:t>
      </w:r>
      <w:r w:rsidR="002F62E8" w:rsidRPr="00CF56E1">
        <w:rPr>
          <w:rFonts w:ascii="Verdana" w:hAnsi="Verdana" w:cs="Times New Roman"/>
          <w:sz w:val="24"/>
          <w:szCs w:val="24"/>
        </w:rPr>
        <w:t xml:space="preserve">(50) </w:t>
      </w:r>
      <w:r w:rsidR="00F078B1" w:rsidRPr="00CF56E1">
        <w:rPr>
          <w:rFonts w:ascii="Verdana" w:hAnsi="Verdana" w:cs="Times New Roman"/>
          <w:sz w:val="24"/>
          <w:szCs w:val="24"/>
        </w:rPr>
        <w:t>respond</w:t>
      </w:r>
      <w:r w:rsidR="002F62E8" w:rsidRPr="00CF56E1">
        <w:rPr>
          <w:rFonts w:ascii="Verdana" w:hAnsi="Verdana" w:cs="Times New Roman"/>
          <w:sz w:val="24"/>
          <w:szCs w:val="24"/>
        </w:rPr>
        <w:t xml:space="preserve">ents </w:t>
      </w:r>
      <w:r w:rsidR="004F3A8D" w:rsidRPr="00CF56E1">
        <w:rPr>
          <w:rFonts w:ascii="Verdana" w:hAnsi="Verdana" w:cs="Times New Roman"/>
          <w:sz w:val="24"/>
          <w:szCs w:val="24"/>
        </w:rPr>
        <w:t xml:space="preserve">in and or near Lira Uganda.  This region is very similar to </w:t>
      </w:r>
      <w:r w:rsidR="002F62E8" w:rsidRPr="00CF56E1">
        <w:rPr>
          <w:rFonts w:ascii="Verdana" w:hAnsi="Verdana" w:cs="Times New Roman"/>
          <w:sz w:val="24"/>
          <w:szCs w:val="24"/>
        </w:rPr>
        <w:t>N</w:t>
      </w:r>
      <w:r w:rsidR="00F078B1" w:rsidRPr="00CF56E1">
        <w:rPr>
          <w:rFonts w:ascii="Verdana" w:hAnsi="Verdana" w:cs="Times New Roman"/>
          <w:sz w:val="24"/>
          <w:szCs w:val="24"/>
        </w:rPr>
        <w:t>orth</w:t>
      </w:r>
      <w:r w:rsidR="000D6A17" w:rsidRPr="00CF56E1">
        <w:rPr>
          <w:rFonts w:ascii="Verdana" w:hAnsi="Verdana" w:cs="Times New Roman"/>
          <w:sz w:val="24"/>
          <w:szCs w:val="24"/>
        </w:rPr>
        <w:t xml:space="preserve"> Central Abuja</w:t>
      </w:r>
      <w:r w:rsidR="004F3A8D" w:rsidRPr="00CF56E1">
        <w:rPr>
          <w:rFonts w:ascii="Verdana" w:hAnsi="Verdana" w:cs="Times New Roman"/>
          <w:sz w:val="24"/>
          <w:szCs w:val="24"/>
        </w:rPr>
        <w:t>, Nigeria</w:t>
      </w:r>
      <w:r w:rsidR="003556E7" w:rsidRPr="00CF56E1">
        <w:rPr>
          <w:rFonts w:ascii="Verdana" w:hAnsi="Verdana" w:cs="Times New Roman"/>
          <w:sz w:val="24"/>
          <w:szCs w:val="24"/>
        </w:rPr>
        <w:t xml:space="preserve"> </w:t>
      </w:r>
      <w:r w:rsidR="00EC510B" w:rsidRPr="00CF56E1">
        <w:rPr>
          <w:rFonts w:ascii="Verdana" w:hAnsi="Verdana" w:cs="Times New Roman"/>
          <w:sz w:val="24"/>
          <w:szCs w:val="24"/>
        </w:rPr>
        <w:t>where maize production is very similar</w:t>
      </w:r>
      <w:r w:rsidR="00F078B1" w:rsidRPr="00CF56E1">
        <w:rPr>
          <w:rFonts w:ascii="Verdana" w:hAnsi="Verdana" w:cs="Times New Roman"/>
          <w:sz w:val="24"/>
          <w:szCs w:val="24"/>
        </w:rPr>
        <w:t>. These respondents include those who ha</w:t>
      </w:r>
      <w:r w:rsidR="000E517B" w:rsidRPr="00CF56E1">
        <w:rPr>
          <w:rFonts w:ascii="Verdana" w:hAnsi="Verdana" w:cs="Times New Roman"/>
          <w:sz w:val="24"/>
          <w:szCs w:val="24"/>
        </w:rPr>
        <w:t>d</w:t>
      </w:r>
      <w:r w:rsidR="00F078B1" w:rsidRPr="00CF56E1">
        <w:rPr>
          <w:rFonts w:ascii="Verdana" w:hAnsi="Verdana" w:cs="Times New Roman"/>
          <w:sz w:val="24"/>
          <w:szCs w:val="24"/>
        </w:rPr>
        <w:t xml:space="preserve"> not used the </w:t>
      </w:r>
      <w:proofErr w:type="spellStart"/>
      <w:r w:rsidR="000A4B17" w:rsidRPr="00CF56E1">
        <w:rPr>
          <w:rFonts w:ascii="Verdana" w:hAnsi="Verdana" w:cs="Times New Roman"/>
          <w:sz w:val="24"/>
          <w:szCs w:val="24"/>
        </w:rPr>
        <w:t>Greenseeder</w:t>
      </w:r>
      <w:proofErr w:type="spellEnd"/>
      <w:r w:rsidR="00F078B1" w:rsidRPr="00CF56E1">
        <w:rPr>
          <w:rFonts w:ascii="Verdana" w:hAnsi="Verdana" w:cs="Times New Roman"/>
          <w:sz w:val="24"/>
          <w:szCs w:val="24"/>
        </w:rPr>
        <w:t xml:space="preserve"> hand planter</w:t>
      </w:r>
      <w:r w:rsidR="008857A2" w:rsidRPr="00CF56E1">
        <w:rPr>
          <w:rFonts w:ascii="Verdana" w:hAnsi="Verdana" w:cs="Times New Roman"/>
          <w:sz w:val="24"/>
          <w:szCs w:val="24"/>
        </w:rPr>
        <w:t xml:space="preserve"> before and farmers who </w:t>
      </w:r>
      <w:r w:rsidR="002D7D16" w:rsidRPr="00CF56E1">
        <w:rPr>
          <w:rFonts w:ascii="Verdana" w:hAnsi="Verdana" w:cs="Times New Roman"/>
          <w:sz w:val="24"/>
          <w:szCs w:val="24"/>
        </w:rPr>
        <w:t xml:space="preserve">would </w:t>
      </w:r>
      <w:r w:rsidR="008857A2" w:rsidRPr="00CF56E1">
        <w:rPr>
          <w:rFonts w:ascii="Verdana" w:hAnsi="Verdana" w:cs="Times New Roman"/>
          <w:sz w:val="24"/>
          <w:szCs w:val="24"/>
        </w:rPr>
        <w:t>participate in the evaluation and testing process and w</w:t>
      </w:r>
      <w:r w:rsidR="002D7D16" w:rsidRPr="00CF56E1">
        <w:rPr>
          <w:rFonts w:ascii="Verdana" w:hAnsi="Verdana" w:cs="Times New Roman"/>
          <w:sz w:val="24"/>
          <w:szCs w:val="24"/>
        </w:rPr>
        <w:t>ould</w:t>
      </w:r>
      <w:r w:rsidR="008857A2" w:rsidRPr="00CF56E1">
        <w:rPr>
          <w:rFonts w:ascii="Verdana" w:hAnsi="Verdana" w:cs="Times New Roman"/>
          <w:sz w:val="24"/>
          <w:szCs w:val="24"/>
        </w:rPr>
        <w:t xml:space="preserve"> later </w:t>
      </w:r>
      <w:r w:rsidR="002D7D16" w:rsidRPr="00CF56E1">
        <w:rPr>
          <w:rFonts w:ascii="Verdana" w:hAnsi="Verdana" w:cs="Times New Roman"/>
          <w:sz w:val="24"/>
          <w:szCs w:val="24"/>
        </w:rPr>
        <w:t xml:space="preserve">be </w:t>
      </w:r>
      <w:r w:rsidR="008857A2" w:rsidRPr="00CF56E1">
        <w:rPr>
          <w:rFonts w:ascii="Verdana" w:hAnsi="Verdana" w:cs="Times New Roman"/>
          <w:sz w:val="24"/>
          <w:szCs w:val="24"/>
        </w:rPr>
        <w:t xml:space="preserve">given </w:t>
      </w:r>
      <w:r w:rsidR="000E517B" w:rsidRPr="00CF56E1">
        <w:rPr>
          <w:rFonts w:ascii="Verdana" w:hAnsi="Verdana" w:cs="Times New Roman"/>
          <w:sz w:val="24"/>
          <w:szCs w:val="24"/>
        </w:rPr>
        <w:t>one that they would</w:t>
      </w:r>
      <w:r w:rsidR="008857A2" w:rsidRPr="00CF56E1">
        <w:rPr>
          <w:rFonts w:ascii="Verdana" w:hAnsi="Verdana" w:cs="Times New Roman"/>
          <w:sz w:val="24"/>
          <w:szCs w:val="24"/>
        </w:rPr>
        <w:t xml:space="preserve"> own</w:t>
      </w:r>
      <w:r w:rsidR="00F078B1" w:rsidRPr="00CF56E1">
        <w:rPr>
          <w:rFonts w:ascii="Verdana" w:hAnsi="Verdana" w:cs="Times New Roman"/>
          <w:sz w:val="24"/>
          <w:szCs w:val="24"/>
        </w:rPr>
        <w:t>.</w:t>
      </w:r>
      <w:r w:rsidR="00545051" w:rsidRPr="00CF56E1">
        <w:rPr>
          <w:rFonts w:ascii="Verdana" w:hAnsi="Verdana" w:cs="Times New Roman"/>
          <w:sz w:val="24"/>
          <w:szCs w:val="24"/>
        </w:rPr>
        <w:t xml:space="preserve"> </w:t>
      </w:r>
      <w:r w:rsidR="00545051" w:rsidRPr="00CF56E1">
        <w:rPr>
          <w:rFonts w:ascii="Verdana" w:hAnsi="Verdana" w:cs="Times New Roman"/>
          <w:sz w:val="24"/>
          <w:szCs w:val="24"/>
          <w:u w:val="single"/>
        </w:rPr>
        <w:t>Considering the sizeable investment in planters and personnel for Uganda, this could not be duplicated in Nigeria</w:t>
      </w:r>
      <w:r w:rsidR="00545051" w:rsidRPr="00CF56E1">
        <w:rPr>
          <w:rFonts w:ascii="Verdana" w:hAnsi="Verdana" w:cs="Times New Roman"/>
          <w:sz w:val="24"/>
          <w:szCs w:val="24"/>
        </w:rPr>
        <w:t>.</w:t>
      </w:r>
      <w:r w:rsidR="00312008" w:rsidRPr="00CF56E1">
        <w:rPr>
          <w:rFonts w:ascii="Verdana" w:hAnsi="Verdana" w:cs="Times New Roman"/>
          <w:sz w:val="24"/>
          <w:szCs w:val="24"/>
        </w:rPr>
        <w:t xml:space="preserve"> Albeit </w:t>
      </w:r>
      <w:r w:rsidR="00867CF1" w:rsidRPr="00CF56E1">
        <w:rPr>
          <w:rFonts w:ascii="Verdana" w:hAnsi="Verdana" w:cs="Times New Roman"/>
          <w:sz w:val="24"/>
          <w:szCs w:val="24"/>
        </w:rPr>
        <w:t>defined</w:t>
      </w:r>
      <w:r w:rsidR="00312008" w:rsidRPr="00CF56E1">
        <w:rPr>
          <w:rFonts w:ascii="Verdana" w:hAnsi="Verdana" w:cs="Times New Roman"/>
          <w:sz w:val="24"/>
          <w:szCs w:val="24"/>
        </w:rPr>
        <w:t xml:space="preserve"> regional differences, Nigeria and Uganda both </w:t>
      </w:r>
      <w:r w:rsidR="00867CF1" w:rsidRPr="00CF56E1">
        <w:rPr>
          <w:rFonts w:ascii="Verdana" w:hAnsi="Verdana" w:cs="Times New Roman"/>
          <w:sz w:val="24"/>
          <w:szCs w:val="24"/>
        </w:rPr>
        <w:t>struggle with low maize grain yields (</w:t>
      </w:r>
      <w:r w:rsidR="002104F6" w:rsidRPr="00CF56E1">
        <w:rPr>
          <w:rFonts w:ascii="Verdana" w:hAnsi="Verdana" w:cs="Times New Roman"/>
          <w:sz w:val="24"/>
          <w:szCs w:val="24"/>
        </w:rPr>
        <w:t>both near</w:t>
      </w:r>
      <w:r w:rsidR="00867CF1" w:rsidRPr="00CF56E1">
        <w:rPr>
          <w:rFonts w:ascii="Verdana" w:hAnsi="Verdana" w:cs="Times New Roman"/>
          <w:sz w:val="24"/>
          <w:szCs w:val="24"/>
        </w:rPr>
        <w:t xml:space="preserve"> 2 Mg ha, FAOSTAT.org)</w:t>
      </w:r>
      <w:r w:rsidR="00BC13E6" w:rsidRPr="00CF56E1">
        <w:rPr>
          <w:rFonts w:ascii="Verdana" w:hAnsi="Verdana" w:cs="Times New Roman"/>
          <w:sz w:val="24"/>
          <w:szCs w:val="24"/>
        </w:rPr>
        <w:t xml:space="preserve"> </w:t>
      </w:r>
      <w:r w:rsidR="00683011" w:rsidRPr="00CF56E1">
        <w:rPr>
          <w:rFonts w:ascii="Verdana" w:hAnsi="Verdana" w:cs="Times New Roman"/>
          <w:sz w:val="24"/>
          <w:szCs w:val="24"/>
        </w:rPr>
        <w:t>(total of 10 and 3 million tons/yr, Nigeria and Uganda, respectively)</w:t>
      </w:r>
      <w:r w:rsidR="00D1589E" w:rsidRPr="00CF56E1">
        <w:rPr>
          <w:rFonts w:ascii="Verdana" w:hAnsi="Verdana" w:cs="Times New Roman"/>
          <w:sz w:val="24"/>
          <w:szCs w:val="24"/>
        </w:rPr>
        <w:t>. The recent study by Ten Berge et al. (2019) reported similar estimated grain yield in Nigeria and Uganda at 1.6 t/ha.</w:t>
      </w:r>
    </w:p>
    <w:p w14:paraId="1AC5C6DA" w14:textId="749F7BD1" w:rsidR="00B103B1" w:rsidRPr="00CF56E1" w:rsidRDefault="00B103B1" w:rsidP="00C11BF2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 xml:space="preserve">Demographic characteristics </w:t>
      </w:r>
    </w:p>
    <w:p w14:paraId="306A6BC4" w14:textId="5C66E009" w:rsidR="002F62E8" w:rsidRPr="00CF56E1" w:rsidRDefault="00316610" w:rsidP="00C11BF2">
      <w:pPr>
        <w:spacing w:line="360" w:lineRule="auto"/>
        <w:ind w:firstLine="720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sz w:val="24"/>
          <w:szCs w:val="24"/>
        </w:rPr>
        <w:t>Respondents’</w:t>
      </w:r>
      <w:r w:rsidR="00F864DE" w:rsidRPr="00CF56E1">
        <w:rPr>
          <w:rFonts w:ascii="Verdana" w:hAnsi="Verdana" w:cs="Times New Roman"/>
          <w:sz w:val="24"/>
          <w:szCs w:val="24"/>
        </w:rPr>
        <w:t xml:space="preserve"> sex and age are</w:t>
      </w:r>
      <w:r w:rsidR="004A54F3" w:rsidRPr="00CF56E1">
        <w:rPr>
          <w:rFonts w:ascii="Verdana" w:hAnsi="Verdana" w:cs="Times New Roman"/>
          <w:sz w:val="24"/>
          <w:szCs w:val="24"/>
        </w:rPr>
        <w:t xml:space="preserve"> </w:t>
      </w:r>
      <w:r w:rsidR="00BE0EE8" w:rsidRPr="00CF56E1">
        <w:rPr>
          <w:rFonts w:ascii="Verdana" w:hAnsi="Verdana" w:cs="Times New Roman"/>
          <w:sz w:val="24"/>
          <w:szCs w:val="24"/>
        </w:rPr>
        <w:t>the</w:t>
      </w:r>
      <w:r w:rsidRPr="00CF56E1">
        <w:rPr>
          <w:rFonts w:ascii="Verdana" w:hAnsi="Verdana" w:cs="Times New Roman"/>
          <w:sz w:val="24"/>
          <w:szCs w:val="24"/>
        </w:rPr>
        <w:t xml:space="preserve"> demographic characteristics reported in this survey</w:t>
      </w:r>
      <w:r w:rsidR="00DD004C" w:rsidRPr="00CF56E1">
        <w:rPr>
          <w:rFonts w:ascii="Verdana" w:hAnsi="Verdana" w:cs="Times New Roman"/>
          <w:sz w:val="24"/>
          <w:szCs w:val="24"/>
        </w:rPr>
        <w:t xml:space="preserve"> (Table 1)</w:t>
      </w:r>
      <w:r w:rsidRPr="00CF56E1">
        <w:rPr>
          <w:rFonts w:ascii="Verdana" w:hAnsi="Verdana" w:cs="Times New Roman"/>
          <w:sz w:val="24"/>
          <w:szCs w:val="24"/>
        </w:rPr>
        <w:t xml:space="preserve">. The survey targeted farming households or farmers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at least </w:t>
      </w:r>
      <w:r w:rsidR="00BE0EE8" w:rsidRPr="00CF56E1">
        <w:rPr>
          <w:rFonts w:ascii="Verdana" w:hAnsi="Verdana" w:cs="Times New Roman"/>
          <w:sz w:val="24"/>
          <w:szCs w:val="24"/>
        </w:rPr>
        <w:t>18</w:t>
      </w:r>
      <w:r w:rsidRPr="00CF56E1">
        <w:rPr>
          <w:rFonts w:ascii="Verdana" w:hAnsi="Verdana" w:cs="Times New Roman"/>
          <w:sz w:val="24"/>
          <w:szCs w:val="24"/>
        </w:rPr>
        <w:t xml:space="preserve"> years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 old</w:t>
      </w:r>
      <w:r w:rsidRPr="00CF56E1">
        <w:rPr>
          <w:rFonts w:ascii="Verdana" w:hAnsi="Verdana" w:cs="Times New Roman"/>
          <w:sz w:val="24"/>
          <w:szCs w:val="24"/>
        </w:rPr>
        <w:t>. From the 50 respondents interviewed, 29 respondents (</w:t>
      </w:r>
      <w:r w:rsidR="00F864DE" w:rsidRPr="00CF56E1">
        <w:rPr>
          <w:rFonts w:ascii="Verdana" w:hAnsi="Verdana" w:cs="Times New Roman"/>
          <w:sz w:val="24"/>
          <w:szCs w:val="24"/>
        </w:rPr>
        <w:t>58</w:t>
      </w:r>
      <w:r w:rsidRPr="00CF56E1">
        <w:rPr>
          <w:rFonts w:ascii="Verdana" w:hAnsi="Verdana" w:cs="Times New Roman"/>
          <w:sz w:val="24"/>
          <w:szCs w:val="24"/>
        </w:rPr>
        <w:t>%) were female while 21 (42%)</w:t>
      </w:r>
      <w:r w:rsidR="00BE0EE8" w:rsidRPr="00CF56E1">
        <w:rPr>
          <w:rFonts w:ascii="Verdana" w:hAnsi="Verdana" w:cs="Times New Roman"/>
          <w:sz w:val="24"/>
          <w:szCs w:val="24"/>
        </w:rPr>
        <w:t xml:space="preserve">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who were </w:t>
      </w:r>
      <w:r w:rsidR="00BE0EE8" w:rsidRPr="00CF56E1">
        <w:rPr>
          <w:rFonts w:ascii="Verdana" w:hAnsi="Verdana" w:cs="Times New Roman"/>
          <w:sz w:val="24"/>
          <w:szCs w:val="24"/>
        </w:rPr>
        <w:t>male</w:t>
      </w:r>
      <w:r w:rsidR="004A54F3" w:rsidRPr="00CF56E1">
        <w:rPr>
          <w:rFonts w:ascii="Verdana" w:hAnsi="Verdana" w:cs="Times New Roman"/>
          <w:sz w:val="24"/>
          <w:szCs w:val="24"/>
        </w:rPr>
        <w:t xml:space="preserve"> </w:t>
      </w:r>
      <w:r w:rsidRPr="00CF56E1">
        <w:rPr>
          <w:rFonts w:ascii="Verdana" w:hAnsi="Verdana" w:cs="Times New Roman"/>
          <w:sz w:val="24"/>
          <w:szCs w:val="24"/>
        </w:rPr>
        <w:t xml:space="preserve">participated in the </w:t>
      </w:r>
      <w:r w:rsidR="00BE0EE8" w:rsidRPr="00CF56E1">
        <w:rPr>
          <w:rFonts w:ascii="Verdana" w:hAnsi="Verdana" w:cs="Times New Roman"/>
          <w:sz w:val="24"/>
          <w:szCs w:val="24"/>
        </w:rPr>
        <w:t>interview. Respondents were categorized</w:t>
      </w:r>
      <w:r w:rsidR="00F864DE" w:rsidRPr="00CF56E1">
        <w:rPr>
          <w:rFonts w:ascii="Verdana" w:hAnsi="Verdana" w:cs="Times New Roman"/>
          <w:sz w:val="24"/>
          <w:szCs w:val="24"/>
        </w:rPr>
        <w:t xml:space="preserve"> in three age groups, 20-</w:t>
      </w:r>
      <w:r w:rsidR="002B71AD" w:rsidRPr="00CF56E1">
        <w:rPr>
          <w:rFonts w:ascii="Verdana" w:hAnsi="Verdana" w:cs="Times New Roman"/>
          <w:sz w:val="24"/>
          <w:szCs w:val="24"/>
        </w:rPr>
        <w:t>30,</w:t>
      </w:r>
      <w:r w:rsidR="00F864DE" w:rsidRPr="00CF56E1">
        <w:rPr>
          <w:rFonts w:ascii="Verdana" w:hAnsi="Verdana" w:cs="Times New Roman"/>
          <w:sz w:val="24"/>
          <w:szCs w:val="24"/>
        </w:rPr>
        <w:t xml:space="preserve"> 31-</w:t>
      </w:r>
      <w:r w:rsidR="002B71AD" w:rsidRPr="00CF56E1">
        <w:rPr>
          <w:rFonts w:ascii="Verdana" w:hAnsi="Verdana" w:cs="Times New Roman"/>
          <w:sz w:val="24"/>
          <w:szCs w:val="24"/>
        </w:rPr>
        <w:t>40,</w:t>
      </w:r>
      <w:r w:rsidR="00ED4F72" w:rsidRPr="00CF56E1">
        <w:rPr>
          <w:rFonts w:ascii="Verdana" w:hAnsi="Verdana" w:cs="Times New Roman"/>
          <w:sz w:val="24"/>
          <w:szCs w:val="24"/>
        </w:rPr>
        <w:t xml:space="preserve"> and 41</w:t>
      </w:r>
      <w:r w:rsidR="00F864DE" w:rsidRPr="00CF56E1">
        <w:rPr>
          <w:rFonts w:ascii="Verdana" w:hAnsi="Verdana" w:cs="Times New Roman"/>
          <w:sz w:val="24"/>
          <w:szCs w:val="24"/>
        </w:rPr>
        <w:t>-</w:t>
      </w:r>
      <w:r w:rsidR="002B71AD" w:rsidRPr="00CF56E1">
        <w:rPr>
          <w:rFonts w:ascii="Verdana" w:hAnsi="Verdana" w:cs="Times New Roman"/>
          <w:sz w:val="24"/>
          <w:szCs w:val="24"/>
        </w:rPr>
        <w:t>50</w:t>
      </w:r>
      <w:r w:rsidR="00ED4F72" w:rsidRPr="00CF56E1">
        <w:rPr>
          <w:rFonts w:ascii="Verdana" w:hAnsi="Verdana" w:cs="Times New Roman"/>
          <w:sz w:val="24"/>
          <w:szCs w:val="24"/>
        </w:rPr>
        <w:t xml:space="preserve"> years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. </w:t>
      </w:r>
      <w:r w:rsidR="009D5047" w:rsidRPr="00CF56E1">
        <w:rPr>
          <w:rFonts w:ascii="Verdana" w:hAnsi="Verdana" w:cs="Times New Roman"/>
          <w:sz w:val="24"/>
          <w:szCs w:val="24"/>
        </w:rPr>
        <w:t>Uganda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 </w:t>
      </w:r>
      <w:r w:rsidR="00265F01" w:rsidRPr="00CF56E1">
        <w:rPr>
          <w:rFonts w:ascii="Verdana" w:hAnsi="Verdana" w:cs="Times New Roman"/>
          <w:sz w:val="24"/>
          <w:szCs w:val="24"/>
        </w:rPr>
        <w:t xml:space="preserve">with the </w:t>
      </w:r>
      <w:r w:rsidR="009D5047" w:rsidRPr="00CF56E1">
        <w:rPr>
          <w:rFonts w:ascii="Verdana" w:hAnsi="Verdana" w:cs="Times New Roman"/>
          <w:sz w:val="24"/>
          <w:szCs w:val="24"/>
        </w:rPr>
        <w:t>10</w:t>
      </w:r>
      <w:r w:rsidR="009D5047" w:rsidRPr="00CF56E1">
        <w:rPr>
          <w:rFonts w:ascii="Verdana" w:hAnsi="Verdana" w:cs="Times New Roman"/>
          <w:sz w:val="24"/>
          <w:szCs w:val="24"/>
          <w:vertAlign w:val="superscript"/>
        </w:rPr>
        <w:t>th</w:t>
      </w:r>
      <w:r w:rsidR="009D5047" w:rsidRPr="00CF56E1">
        <w:rPr>
          <w:rFonts w:ascii="Verdana" w:hAnsi="Verdana" w:cs="Times New Roman"/>
          <w:sz w:val="24"/>
          <w:szCs w:val="24"/>
        </w:rPr>
        <w:t xml:space="preserve"> </w:t>
      </w:r>
      <w:r w:rsidR="00265F01" w:rsidRPr="00CF56E1">
        <w:rPr>
          <w:rFonts w:ascii="Verdana" w:hAnsi="Verdana" w:cs="Times New Roman"/>
          <w:sz w:val="24"/>
          <w:szCs w:val="24"/>
        </w:rPr>
        <w:t xml:space="preserve">highest </w:t>
      </w:r>
      <w:r w:rsidR="00ED4F72" w:rsidRPr="00CF56E1">
        <w:rPr>
          <w:rFonts w:ascii="Verdana" w:hAnsi="Verdana" w:cs="Times New Roman"/>
          <w:sz w:val="24"/>
          <w:szCs w:val="24"/>
        </w:rPr>
        <w:t>population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 </w:t>
      </w:r>
      <w:r w:rsidR="00265F01" w:rsidRPr="00CF56E1">
        <w:rPr>
          <w:rFonts w:ascii="Verdana" w:hAnsi="Verdana" w:cs="Times New Roman"/>
          <w:sz w:val="24"/>
          <w:szCs w:val="24"/>
        </w:rPr>
        <w:t xml:space="preserve">in Africa </w:t>
      </w:r>
      <w:r w:rsidR="009D5047" w:rsidRPr="00CF56E1">
        <w:rPr>
          <w:rFonts w:ascii="Verdana" w:hAnsi="Verdana" w:cs="Times New Roman"/>
          <w:sz w:val="24"/>
          <w:szCs w:val="24"/>
        </w:rPr>
        <w:t>(Nigeria is 1</w:t>
      </w:r>
      <w:r w:rsidR="009D5047" w:rsidRPr="00CF56E1">
        <w:rPr>
          <w:rFonts w:ascii="Verdana" w:hAnsi="Verdana" w:cs="Times New Roman"/>
          <w:sz w:val="24"/>
          <w:szCs w:val="24"/>
          <w:vertAlign w:val="superscript"/>
        </w:rPr>
        <w:t>st</w:t>
      </w:r>
      <w:r w:rsidR="009D5047" w:rsidRPr="00CF56E1">
        <w:rPr>
          <w:rFonts w:ascii="Verdana" w:hAnsi="Verdana" w:cs="Times New Roman"/>
          <w:sz w:val="24"/>
          <w:szCs w:val="24"/>
        </w:rPr>
        <w:t xml:space="preserve">) </w:t>
      </w:r>
      <w:r w:rsidR="00265F01" w:rsidRPr="00CF56E1">
        <w:rPr>
          <w:rFonts w:ascii="Verdana" w:hAnsi="Verdana" w:cs="Times New Roman"/>
          <w:sz w:val="24"/>
          <w:szCs w:val="24"/>
        </w:rPr>
        <w:t xml:space="preserve">unfortunately has </w:t>
      </w:r>
      <w:r w:rsidR="009D5047" w:rsidRPr="00CF56E1">
        <w:rPr>
          <w:rFonts w:ascii="Verdana" w:hAnsi="Verdana" w:cs="Times New Roman"/>
          <w:sz w:val="24"/>
          <w:szCs w:val="24"/>
        </w:rPr>
        <w:t>a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 low life expectancy</w:t>
      </w:r>
      <w:r w:rsidR="00BE0EE8" w:rsidRPr="00CF56E1">
        <w:rPr>
          <w:rFonts w:ascii="Verdana" w:hAnsi="Verdana" w:cs="Times New Roman"/>
          <w:sz w:val="24"/>
          <w:szCs w:val="24"/>
        </w:rPr>
        <w:t>,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 </w:t>
      </w:r>
      <w:r w:rsidR="00265F01" w:rsidRPr="00CF56E1">
        <w:rPr>
          <w:rFonts w:ascii="Verdana" w:hAnsi="Verdana" w:cs="Times New Roman"/>
          <w:sz w:val="24"/>
          <w:szCs w:val="24"/>
        </w:rPr>
        <w:t>estimated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 </w:t>
      </w:r>
      <w:r w:rsidR="009D5047" w:rsidRPr="00CF56E1">
        <w:rPr>
          <w:rFonts w:ascii="Verdana" w:hAnsi="Verdana" w:cs="Times New Roman"/>
          <w:sz w:val="24"/>
          <w:szCs w:val="24"/>
        </w:rPr>
        <w:t xml:space="preserve">at </w:t>
      </w:r>
      <w:r w:rsidR="0030193E" w:rsidRPr="00CF56E1">
        <w:rPr>
          <w:rFonts w:ascii="Verdana" w:hAnsi="Verdana" w:cs="Times New Roman"/>
          <w:sz w:val="24"/>
          <w:szCs w:val="24"/>
        </w:rPr>
        <w:t>60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 years</w:t>
      </w:r>
      <w:r w:rsidR="00265F01" w:rsidRPr="00CF56E1">
        <w:rPr>
          <w:rFonts w:ascii="Verdana" w:hAnsi="Verdana" w:cs="Times New Roman"/>
          <w:sz w:val="24"/>
          <w:szCs w:val="24"/>
        </w:rPr>
        <w:t xml:space="preserve"> in 201</w:t>
      </w:r>
      <w:r w:rsidR="0030193E" w:rsidRPr="00CF56E1">
        <w:rPr>
          <w:rFonts w:ascii="Verdana" w:hAnsi="Verdana" w:cs="Times New Roman"/>
          <w:sz w:val="24"/>
          <w:szCs w:val="24"/>
        </w:rPr>
        <w:t>7</w:t>
      </w:r>
      <w:r w:rsidR="00550E73" w:rsidRPr="00CF56E1">
        <w:rPr>
          <w:rFonts w:ascii="Verdana" w:hAnsi="Verdana" w:cs="Times New Roman"/>
          <w:sz w:val="24"/>
          <w:szCs w:val="24"/>
        </w:rPr>
        <w:t>. A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verage </w:t>
      </w:r>
      <w:r w:rsidR="00550E73" w:rsidRPr="00CF56E1">
        <w:rPr>
          <w:rFonts w:ascii="Verdana" w:hAnsi="Verdana" w:cs="Times New Roman"/>
          <w:sz w:val="24"/>
          <w:szCs w:val="24"/>
        </w:rPr>
        <w:t xml:space="preserve">age </w:t>
      </w:r>
      <w:r w:rsidR="00F864DE" w:rsidRPr="00CF56E1">
        <w:rPr>
          <w:rFonts w:ascii="Verdana" w:hAnsi="Verdana" w:cs="Times New Roman"/>
          <w:sz w:val="24"/>
          <w:szCs w:val="24"/>
        </w:rPr>
        <w:t xml:space="preserve">for most farmers </w:t>
      </w:r>
      <w:r w:rsidR="00550E73" w:rsidRPr="00CF56E1">
        <w:rPr>
          <w:rFonts w:ascii="Verdana" w:hAnsi="Verdana" w:cs="Times New Roman"/>
          <w:sz w:val="24"/>
          <w:szCs w:val="24"/>
        </w:rPr>
        <w:t>stands at</w:t>
      </w:r>
      <w:r w:rsidR="00F864DE" w:rsidRPr="00CF56E1">
        <w:rPr>
          <w:rFonts w:ascii="Verdana" w:hAnsi="Verdana" w:cs="Times New Roman"/>
          <w:sz w:val="24"/>
          <w:szCs w:val="24"/>
        </w:rPr>
        <w:t xml:space="preserve"> 3</w:t>
      </w:r>
      <w:r w:rsidR="00265F01" w:rsidRPr="00CF56E1">
        <w:rPr>
          <w:rFonts w:ascii="Verdana" w:hAnsi="Verdana" w:cs="Times New Roman"/>
          <w:sz w:val="24"/>
          <w:szCs w:val="24"/>
        </w:rPr>
        <w:t>0 years</w:t>
      </w:r>
      <w:r w:rsidR="00550E73" w:rsidRPr="00CF56E1">
        <w:rPr>
          <w:rFonts w:ascii="Verdana" w:hAnsi="Verdana" w:cs="Times New Roman"/>
          <w:sz w:val="24"/>
          <w:szCs w:val="24"/>
        </w:rPr>
        <w:t xml:space="preserve"> which explains why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the </w:t>
      </w:r>
      <w:r w:rsidR="00550E73" w:rsidRPr="00CF56E1">
        <w:rPr>
          <w:rFonts w:ascii="Verdana" w:hAnsi="Verdana" w:cs="Times New Roman"/>
          <w:sz w:val="24"/>
          <w:szCs w:val="24"/>
        </w:rPr>
        <w:t>m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ajority of </w:t>
      </w:r>
      <w:r w:rsidR="00ED7112" w:rsidRPr="00CF56E1">
        <w:rPr>
          <w:rFonts w:ascii="Verdana" w:hAnsi="Verdana" w:cs="Times New Roman"/>
          <w:sz w:val="24"/>
          <w:szCs w:val="24"/>
        </w:rPr>
        <w:t xml:space="preserve">survey </w:t>
      </w:r>
      <w:r w:rsidR="002B71AD" w:rsidRPr="00CF56E1">
        <w:rPr>
          <w:rFonts w:ascii="Verdana" w:hAnsi="Verdana" w:cs="Times New Roman"/>
          <w:sz w:val="24"/>
          <w:szCs w:val="24"/>
        </w:rPr>
        <w:t>respondents</w:t>
      </w:r>
      <w:r w:rsidR="00F864DE" w:rsidRPr="00CF56E1">
        <w:rPr>
          <w:rFonts w:ascii="Verdana" w:hAnsi="Verdana" w:cs="Times New Roman"/>
          <w:sz w:val="24"/>
          <w:szCs w:val="24"/>
        </w:rPr>
        <w:t xml:space="preserve"> fall in </w:t>
      </w:r>
      <w:r w:rsidR="00F864DE" w:rsidRPr="00CF56E1">
        <w:rPr>
          <w:rFonts w:ascii="Verdana" w:hAnsi="Verdana" w:cs="Times New Roman"/>
          <w:sz w:val="24"/>
          <w:szCs w:val="24"/>
        </w:rPr>
        <w:lastRenderedPageBreak/>
        <w:t>the age group of 20-</w:t>
      </w:r>
      <w:r w:rsidR="002B71AD" w:rsidRPr="00CF56E1">
        <w:rPr>
          <w:rFonts w:ascii="Verdana" w:hAnsi="Verdana" w:cs="Times New Roman"/>
          <w:sz w:val="24"/>
          <w:szCs w:val="24"/>
        </w:rPr>
        <w:t>30 years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 (58%)</w:t>
      </w:r>
      <w:r w:rsidR="002B71AD" w:rsidRPr="00CF56E1">
        <w:rPr>
          <w:rFonts w:ascii="Verdana" w:hAnsi="Verdana" w:cs="Times New Roman"/>
          <w:sz w:val="24"/>
          <w:szCs w:val="24"/>
        </w:rPr>
        <w:t>; 36 percent</w:t>
      </w:r>
      <w:r w:rsidR="00F864DE" w:rsidRPr="00CF56E1">
        <w:rPr>
          <w:rFonts w:ascii="Verdana" w:hAnsi="Verdana" w:cs="Times New Roman"/>
          <w:sz w:val="24"/>
          <w:szCs w:val="24"/>
        </w:rPr>
        <w:t xml:space="preserve"> were in the age group of 31-</w:t>
      </w:r>
      <w:r w:rsidR="002B71AD" w:rsidRPr="00CF56E1">
        <w:rPr>
          <w:rFonts w:ascii="Verdana" w:hAnsi="Verdana" w:cs="Times New Roman"/>
          <w:sz w:val="24"/>
          <w:szCs w:val="24"/>
        </w:rPr>
        <w:t xml:space="preserve">40 while only 6 percent are in the age group of </w:t>
      </w:r>
      <w:r w:rsidR="00F864DE" w:rsidRPr="00CF56E1">
        <w:rPr>
          <w:rFonts w:ascii="Verdana" w:hAnsi="Verdana" w:cs="Times New Roman"/>
          <w:sz w:val="24"/>
          <w:szCs w:val="24"/>
        </w:rPr>
        <w:t>41-</w:t>
      </w:r>
      <w:r w:rsidR="00ED4F72" w:rsidRPr="00CF56E1">
        <w:rPr>
          <w:rFonts w:ascii="Verdana" w:hAnsi="Verdana" w:cs="Times New Roman"/>
          <w:sz w:val="24"/>
          <w:szCs w:val="24"/>
        </w:rPr>
        <w:t xml:space="preserve">50 years. </w:t>
      </w:r>
    </w:p>
    <w:p w14:paraId="7DB51E7C" w14:textId="77777777" w:rsidR="00B103B1" w:rsidRPr="00CF56E1" w:rsidRDefault="00B103B1" w:rsidP="00C11BF2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>Major Crops grown</w:t>
      </w:r>
    </w:p>
    <w:p w14:paraId="285F648C" w14:textId="53D737B6" w:rsidR="002F62E8" w:rsidRPr="00CF56E1" w:rsidRDefault="00C61A8A" w:rsidP="00C11BF2">
      <w:pPr>
        <w:spacing w:line="360" w:lineRule="auto"/>
        <w:ind w:firstLine="720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sz w:val="24"/>
          <w:szCs w:val="24"/>
        </w:rPr>
        <w:t>Respondents listed beans, groundnuts, maize, finger millet, s</w:t>
      </w:r>
      <w:r w:rsidR="0015181B" w:rsidRPr="00CF56E1">
        <w:rPr>
          <w:rFonts w:ascii="Verdana" w:hAnsi="Verdana" w:cs="Times New Roman"/>
          <w:sz w:val="24"/>
          <w:szCs w:val="24"/>
        </w:rPr>
        <w:t>esame</w:t>
      </w:r>
      <w:r w:rsidRPr="00CF56E1">
        <w:rPr>
          <w:rFonts w:ascii="Verdana" w:hAnsi="Verdana" w:cs="Times New Roman"/>
          <w:sz w:val="24"/>
          <w:szCs w:val="24"/>
        </w:rPr>
        <w:t xml:space="preserve">, sorghum, soybeans, and sunflower as major crops they grow in the region (Figure 1). From the list, maize stood </w:t>
      </w:r>
      <w:r w:rsidR="0015181B" w:rsidRPr="00CF56E1">
        <w:rPr>
          <w:rFonts w:ascii="Verdana" w:hAnsi="Verdana" w:cs="Times New Roman"/>
          <w:sz w:val="24"/>
          <w:szCs w:val="24"/>
        </w:rPr>
        <w:t xml:space="preserve">out </w:t>
      </w:r>
      <w:r w:rsidRPr="00CF56E1">
        <w:rPr>
          <w:rFonts w:ascii="Verdana" w:hAnsi="Verdana" w:cs="Times New Roman"/>
          <w:sz w:val="24"/>
          <w:szCs w:val="24"/>
        </w:rPr>
        <w:t xml:space="preserve">as the major crop cultivated by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the </w:t>
      </w:r>
      <w:r w:rsidRPr="00CF56E1">
        <w:rPr>
          <w:rFonts w:ascii="Verdana" w:hAnsi="Verdana" w:cs="Times New Roman"/>
          <w:sz w:val="24"/>
          <w:szCs w:val="24"/>
        </w:rPr>
        <w:t>majority (86%) of households in the region. This was followed by s</w:t>
      </w:r>
      <w:r w:rsidR="0015181B" w:rsidRPr="00CF56E1">
        <w:rPr>
          <w:rFonts w:ascii="Verdana" w:hAnsi="Verdana" w:cs="Times New Roman"/>
          <w:sz w:val="24"/>
          <w:szCs w:val="24"/>
        </w:rPr>
        <w:t xml:space="preserve">esame </w:t>
      </w:r>
      <w:r w:rsidR="002117FA" w:rsidRPr="00CF56E1">
        <w:rPr>
          <w:rFonts w:ascii="Verdana" w:hAnsi="Verdana" w:cs="Times New Roman"/>
          <w:sz w:val="24"/>
          <w:szCs w:val="24"/>
        </w:rPr>
        <w:t>at 48</w:t>
      </w:r>
      <w:r w:rsidRPr="00CF56E1">
        <w:rPr>
          <w:rFonts w:ascii="Verdana" w:hAnsi="Verdana" w:cs="Times New Roman"/>
          <w:sz w:val="24"/>
          <w:szCs w:val="24"/>
        </w:rPr>
        <w:t>% while groundnuts w</w:t>
      </w:r>
      <w:r w:rsidR="0015181B" w:rsidRPr="00CF56E1">
        <w:rPr>
          <w:rFonts w:ascii="Verdana" w:hAnsi="Verdana" w:cs="Times New Roman"/>
          <w:sz w:val="24"/>
          <w:szCs w:val="24"/>
        </w:rPr>
        <w:t xml:space="preserve">ere </w:t>
      </w:r>
      <w:r w:rsidR="007F1CF0" w:rsidRPr="00CF56E1">
        <w:rPr>
          <w:rFonts w:ascii="Verdana" w:hAnsi="Verdana" w:cs="Times New Roman"/>
          <w:sz w:val="24"/>
          <w:szCs w:val="24"/>
        </w:rPr>
        <w:t>the least</w:t>
      </w:r>
      <w:r w:rsidRPr="00CF56E1">
        <w:rPr>
          <w:rFonts w:ascii="Verdana" w:hAnsi="Verdana" w:cs="Times New Roman"/>
          <w:sz w:val="24"/>
          <w:szCs w:val="24"/>
        </w:rPr>
        <w:t xml:space="preserve"> with only 12% of respondents. </w:t>
      </w:r>
      <w:r w:rsidR="00BE0EE8" w:rsidRPr="00CF56E1">
        <w:rPr>
          <w:rFonts w:ascii="Verdana" w:hAnsi="Verdana" w:cs="Times New Roman"/>
          <w:sz w:val="24"/>
          <w:szCs w:val="24"/>
        </w:rPr>
        <w:t xml:space="preserve">This is consistent with scholarly reports indicating maize as the food security crop in </w:t>
      </w:r>
      <w:r w:rsidR="00550E73" w:rsidRPr="00CF56E1">
        <w:rPr>
          <w:rFonts w:ascii="Verdana" w:hAnsi="Verdana" w:cs="Times New Roman"/>
          <w:sz w:val="24"/>
          <w:szCs w:val="24"/>
        </w:rPr>
        <w:t>Ni</w:t>
      </w:r>
      <w:r w:rsidR="00BE0EE8" w:rsidRPr="00CF56E1">
        <w:rPr>
          <w:rFonts w:ascii="Verdana" w:hAnsi="Verdana" w:cs="Times New Roman"/>
          <w:sz w:val="24"/>
          <w:szCs w:val="24"/>
        </w:rPr>
        <w:t>g</w:t>
      </w:r>
      <w:r w:rsidR="00550E73" w:rsidRPr="00CF56E1">
        <w:rPr>
          <w:rFonts w:ascii="Verdana" w:hAnsi="Verdana" w:cs="Times New Roman"/>
          <w:sz w:val="24"/>
          <w:szCs w:val="24"/>
        </w:rPr>
        <w:t>eri</w:t>
      </w:r>
      <w:r w:rsidR="00BE0EE8" w:rsidRPr="00CF56E1">
        <w:rPr>
          <w:rFonts w:ascii="Verdana" w:hAnsi="Verdana" w:cs="Times New Roman"/>
          <w:sz w:val="24"/>
          <w:szCs w:val="24"/>
        </w:rPr>
        <w:t>a</w:t>
      </w:r>
      <w:r w:rsidR="00EC510B" w:rsidRPr="00CF56E1">
        <w:rPr>
          <w:rFonts w:ascii="Verdana" w:hAnsi="Verdana" w:cs="Times New Roman"/>
          <w:sz w:val="24"/>
          <w:szCs w:val="24"/>
        </w:rPr>
        <w:t xml:space="preserve"> identical to that in Uganda</w:t>
      </w:r>
      <w:r w:rsidR="00BE0EE8" w:rsidRPr="00CF56E1">
        <w:rPr>
          <w:rFonts w:ascii="Verdana" w:hAnsi="Verdana" w:cs="Times New Roman"/>
          <w:sz w:val="24"/>
          <w:szCs w:val="24"/>
        </w:rPr>
        <w:t xml:space="preserve">.  </w:t>
      </w:r>
    </w:p>
    <w:p w14:paraId="6EA11F1B" w14:textId="77777777" w:rsidR="00B103B1" w:rsidRPr="00CF56E1" w:rsidRDefault="00B103B1" w:rsidP="00C11BF2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 xml:space="preserve">Maize grain yield </w:t>
      </w:r>
    </w:p>
    <w:p w14:paraId="36333D41" w14:textId="4FE54B62" w:rsidR="002F62E8" w:rsidRPr="00CF56E1" w:rsidRDefault="00C61A8A" w:rsidP="00C11BF2">
      <w:pPr>
        <w:spacing w:line="360" w:lineRule="auto"/>
        <w:ind w:firstLine="720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sz w:val="24"/>
          <w:szCs w:val="24"/>
        </w:rPr>
        <w:t>The average maize grain y</w:t>
      </w:r>
      <w:r w:rsidR="001826BA" w:rsidRPr="00CF56E1">
        <w:rPr>
          <w:rFonts w:ascii="Verdana" w:hAnsi="Verdana" w:cs="Times New Roman"/>
          <w:sz w:val="24"/>
          <w:szCs w:val="24"/>
        </w:rPr>
        <w:t>ield reported by respondents is</w:t>
      </w:r>
      <w:r w:rsidRPr="00CF56E1">
        <w:rPr>
          <w:rFonts w:ascii="Verdana" w:hAnsi="Verdana" w:cs="Times New Roman"/>
          <w:sz w:val="24"/>
          <w:szCs w:val="24"/>
        </w:rPr>
        <w:t xml:space="preserve"> indicated in Figure 1. It is clearly evidenced that the average grain yield for farmers interviewed in </w:t>
      </w:r>
      <w:r w:rsidR="009D5047" w:rsidRPr="00CF56E1">
        <w:rPr>
          <w:rFonts w:ascii="Verdana" w:hAnsi="Verdana" w:cs="Times New Roman"/>
          <w:sz w:val="24"/>
          <w:szCs w:val="24"/>
        </w:rPr>
        <w:t>Uganda</w:t>
      </w:r>
      <w:r w:rsidRPr="00CF56E1">
        <w:rPr>
          <w:rFonts w:ascii="Verdana" w:hAnsi="Verdana" w:cs="Times New Roman"/>
          <w:sz w:val="24"/>
          <w:szCs w:val="24"/>
        </w:rPr>
        <w:t xml:space="preserve"> </w:t>
      </w:r>
      <w:r w:rsidR="00C92B91" w:rsidRPr="00CF56E1">
        <w:rPr>
          <w:rFonts w:ascii="Verdana" w:hAnsi="Verdana" w:cs="Times New Roman"/>
          <w:sz w:val="24"/>
          <w:szCs w:val="24"/>
        </w:rPr>
        <w:t>was</w:t>
      </w:r>
      <w:r w:rsidRPr="00CF56E1">
        <w:rPr>
          <w:rFonts w:ascii="Verdana" w:hAnsi="Verdana" w:cs="Times New Roman"/>
          <w:sz w:val="24"/>
          <w:szCs w:val="24"/>
        </w:rPr>
        <w:t xml:space="preserve"> l</w:t>
      </w:r>
      <w:r w:rsidR="005B7782" w:rsidRPr="00CF56E1">
        <w:rPr>
          <w:rFonts w:ascii="Verdana" w:hAnsi="Verdana" w:cs="Times New Roman"/>
          <w:sz w:val="24"/>
          <w:szCs w:val="24"/>
        </w:rPr>
        <w:t>ess than 2 Mg ha</w:t>
      </w:r>
      <w:r w:rsidR="005B7782" w:rsidRPr="00CF56E1">
        <w:rPr>
          <w:rFonts w:ascii="Verdana" w:hAnsi="Verdana" w:cs="Times New Roman"/>
          <w:sz w:val="24"/>
          <w:szCs w:val="24"/>
          <w:vertAlign w:val="superscript"/>
        </w:rPr>
        <w:t>-1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. This figure is similar to what has been reported in </w:t>
      </w:r>
      <w:r w:rsidR="00A614AB">
        <w:rPr>
          <w:rFonts w:ascii="Verdana" w:hAnsi="Verdana" w:cs="Times New Roman"/>
          <w:sz w:val="24"/>
          <w:szCs w:val="24"/>
        </w:rPr>
        <w:t xml:space="preserve">the 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literature, that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developing 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world maize grain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producers 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generally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have </w:t>
      </w:r>
      <w:r w:rsidR="005B7782" w:rsidRPr="00CF56E1">
        <w:rPr>
          <w:rFonts w:ascii="Verdana" w:hAnsi="Verdana" w:cs="Times New Roman"/>
          <w:sz w:val="24"/>
          <w:szCs w:val="24"/>
        </w:rPr>
        <w:t>average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 grain yields near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 2 Mg ha</w:t>
      </w:r>
      <w:r w:rsidR="005B7782" w:rsidRPr="00CF56E1">
        <w:rPr>
          <w:rFonts w:ascii="Verdana" w:hAnsi="Verdana" w:cs="Times New Roman"/>
          <w:sz w:val="24"/>
          <w:szCs w:val="24"/>
          <w:vertAlign w:val="superscript"/>
        </w:rPr>
        <w:t>-1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. </w:t>
      </w:r>
      <w:r w:rsidR="00A614AB">
        <w:rPr>
          <w:rFonts w:ascii="Verdana" w:hAnsi="Verdana" w:cs="Times New Roman"/>
          <w:sz w:val="24"/>
          <w:szCs w:val="24"/>
        </w:rPr>
        <w:t>This same statistic is present in Central America where maize grain yields average 2 Mg ha</w:t>
      </w:r>
      <w:r w:rsidR="00A614AB" w:rsidRPr="00A614AB">
        <w:rPr>
          <w:rFonts w:ascii="Verdana" w:hAnsi="Verdana" w:cs="Times New Roman"/>
          <w:sz w:val="24"/>
          <w:szCs w:val="24"/>
          <w:vertAlign w:val="superscript"/>
        </w:rPr>
        <w:t>-1</w:t>
      </w:r>
      <w:r w:rsidR="00A614AB">
        <w:rPr>
          <w:rFonts w:ascii="Verdana" w:hAnsi="Verdana" w:cs="Times New Roman"/>
          <w:sz w:val="24"/>
          <w:szCs w:val="24"/>
        </w:rPr>
        <w:t>) (</w:t>
      </w:r>
      <w:hyperlink r:id="rId6" w:history="1">
        <w:r w:rsidR="00A614AB" w:rsidRPr="00B86AFF">
          <w:rPr>
            <w:rStyle w:val="Hyperlink"/>
            <w:rFonts w:ascii="Verdana" w:hAnsi="Verdana" w:cs="Times New Roman"/>
            <w:sz w:val="24"/>
            <w:szCs w:val="24"/>
          </w:rPr>
          <w:t>https://doi.org/10.1201/9780429042171</w:t>
        </w:r>
      </w:hyperlink>
      <w:r w:rsidR="00A614AB">
        <w:rPr>
          <w:rFonts w:ascii="Verdana" w:hAnsi="Verdana" w:cs="Times New Roman"/>
          <w:sz w:val="24"/>
          <w:szCs w:val="24"/>
        </w:rPr>
        <w:t xml:space="preserve">).  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Compared to developed </w:t>
      </w:r>
      <w:r w:rsidR="001826BA" w:rsidRPr="00CF56E1">
        <w:rPr>
          <w:rFonts w:ascii="Verdana" w:hAnsi="Verdana" w:cs="Times New Roman"/>
          <w:sz w:val="24"/>
          <w:szCs w:val="24"/>
        </w:rPr>
        <w:t>countries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, this is low and thus explains why farmers are </w:t>
      </w:r>
      <w:r w:rsidR="0061367B" w:rsidRPr="00CF56E1">
        <w:rPr>
          <w:rFonts w:ascii="Verdana" w:hAnsi="Verdana" w:cs="Times New Roman"/>
          <w:sz w:val="24"/>
          <w:szCs w:val="24"/>
        </w:rPr>
        <w:t xml:space="preserve">often disillusioned with highly variable yields from year to year for </w:t>
      </w:r>
      <w:r w:rsidR="005B7782" w:rsidRPr="00CF56E1">
        <w:rPr>
          <w:rFonts w:ascii="Verdana" w:hAnsi="Verdana" w:cs="Times New Roman"/>
          <w:sz w:val="24"/>
          <w:szCs w:val="24"/>
        </w:rPr>
        <w:t>the</w:t>
      </w:r>
      <w:r w:rsidR="001826BA" w:rsidRPr="00CF56E1">
        <w:rPr>
          <w:rFonts w:ascii="Verdana" w:hAnsi="Verdana" w:cs="Times New Roman"/>
          <w:sz w:val="24"/>
          <w:szCs w:val="24"/>
        </w:rPr>
        <w:t>ir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 number one food security crop. Therefore, there is an urgent need to understand, from the farmers’ perspective, the reason why they experience th</w:t>
      </w:r>
      <w:r w:rsidR="0015181B" w:rsidRPr="00CF56E1">
        <w:rPr>
          <w:rFonts w:ascii="Verdana" w:hAnsi="Verdana" w:cs="Times New Roman"/>
          <w:sz w:val="24"/>
          <w:szCs w:val="24"/>
        </w:rPr>
        <w:t>ese</w:t>
      </w:r>
      <w:r w:rsidR="005B7782" w:rsidRPr="00CF56E1">
        <w:rPr>
          <w:rFonts w:ascii="Verdana" w:hAnsi="Verdana" w:cs="Times New Roman"/>
          <w:sz w:val="24"/>
          <w:szCs w:val="24"/>
        </w:rPr>
        <w:t xml:space="preserve"> low yield levels</w:t>
      </w:r>
    </w:p>
    <w:p w14:paraId="66C1B68F" w14:textId="77777777" w:rsidR="00B103B1" w:rsidRPr="00CF56E1" w:rsidRDefault="00B103B1" w:rsidP="00C11BF2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>Planting tools used</w:t>
      </w:r>
    </w:p>
    <w:p w14:paraId="1293431B" w14:textId="019F1F1C" w:rsidR="002302E7" w:rsidRPr="00CF56E1" w:rsidRDefault="009D150F" w:rsidP="002117FA">
      <w:pPr>
        <w:spacing w:line="360" w:lineRule="auto"/>
        <w:ind w:firstLine="720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sz w:val="24"/>
          <w:szCs w:val="24"/>
        </w:rPr>
        <w:t xml:space="preserve">From the 50 respondents </w:t>
      </w:r>
      <w:r w:rsidR="00B03115" w:rsidRPr="00CF56E1">
        <w:rPr>
          <w:rFonts w:ascii="Verdana" w:hAnsi="Verdana" w:cs="Times New Roman"/>
          <w:sz w:val="24"/>
          <w:szCs w:val="24"/>
        </w:rPr>
        <w:t xml:space="preserve">randomly </w:t>
      </w:r>
      <w:r w:rsidRPr="00CF56E1">
        <w:rPr>
          <w:rFonts w:ascii="Verdana" w:hAnsi="Verdana" w:cs="Times New Roman"/>
          <w:sz w:val="24"/>
          <w:szCs w:val="24"/>
        </w:rPr>
        <w:t>sampled, result</w:t>
      </w:r>
      <w:r w:rsidR="007F1CF0" w:rsidRPr="00CF56E1">
        <w:rPr>
          <w:rFonts w:ascii="Verdana" w:hAnsi="Verdana" w:cs="Times New Roman"/>
          <w:sz w:val="24"/>
          <w:szCs w:val="24"/>
        </w:rPr>
        <w:t>s</w:t>
      </w:r>
      <w:r w:rsidRPr="00CF56E1">
        <w:rPr>
          <w:rFonts w:ascii="Verdana" w:hAnsi="Verdana" w:cs="Times New Roman"/>
          <w:sz w:val="24"/>
          <w:szCs w:val="24"/>
        </w:rPr>
        <w:t xml:space="preserve"> </w:t>
      </w:r>
      <w:r w:rsidR="007F1CF0" w:rsidRPr="00CF56E1">
        <w:rPr>
          <w:rFonts w:ascii="Verdana" w:hAnsi="Verdana" w:cs="Times New Roman"/>
          <w:sz w:val="24"/>
          <w:szCs w:val="24"/>
        </w:rPr>
        <w:t>show</w:t>
      </w:r>
      <w:r w:rsidR="00C92B91" w:rsidRPr="00CF56E1">
        <w:rPr>
          <w:rFonts w:ascii="Verdana" w:hAnsi="Verdana" w:cs="Times New Roman"/>
          <w:sz w:val="24"/>
          <w:szCs w:val="24"/>
        </w:rPr>
        <w:t>ed</w:t>
      </w:r>
      <w:r w:rsidRPr="00CF56E1">
        <w:rPr>
          <w:rFonts w:ascii="Verdana" w:hAnsi="Verdana" w:cs="Times New Roman"/>
          <w:sz w:val="24"/>
          <w:szCs w:val="24"/>
        </w:rPr>
        <w:t xml:space="preserve"> that </w:t>
      </w:r>
      <w:r w:rsidR="00B03115" w:rsidRPr="00CF56E1">
        <w:rPr>
          <w:rFonts w:ascii="Verdana" w:hAnsi="Verdana" w:cs="Times New Roman"/>
          <w:sz w:val="24"/>
          <w:szCs w:val="24"/>
        </w:rPr>
        <w:t>33</w:t>
      </w:r>
      <w:r w:rsidR="0015181B" w:rsidRPr="00CF56E1">
        <w:rPr>
          <w:rFonts w:ascii="Verdana" w:hAnsi="Verdana" w:cs="Times New Roman"/>
          <w:sz w:val="24"/>
          <w:szCs w:val="24"/>
        </w:rPr>
        <w:t xml:space="preserve"> </w:t>
      </w:r>
      <w:r w:rsidRPr="00CF56E1">
        <w:rPr>
          <w:rFonts w:ascii="Verdana" w:hAnsi="Verdana" w:cs="Times New Roman"/>
          <w:sz w:val="24"/>
          <w:szCs w:val="24"/>
        </w:rPr>
        <w:t xml:space="preserve">percent were using Ox-plough,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and where </w:t>
      </w:r>
      <w:r w:rsidRPr="00CF56E1">
        <w:rPr>
          <w:rFonts w:ascii="Verdana" w:hAnsi="Verdana" w:cs="Times New Roman"/>
          <w:sz w:val="24"/>
          <w:szCs w:val="24"/>
        </w:rPr>
        <w:t xml:space="preserve">all the respondents interviewed were using hand hoes. </w:t>
      </w:r>
      <w:proofErr w:type="spellStart"/>
      <w:r w:rsidR="00C14325" w:rsidRPr="00CF56E1">
        <w:rPr>
          <w:rFonts w:ascii="Verdana" w:hAnsi="Verdana" w:cs="Times New Roman"/>
          <w:sz w:val="24"/>
          <w:szCs w:val="24"/>
        </w:rPr>
        <w:t>Greenseeder</w:t>
      </w:r>
      <w:proofErr w:type="spellEnd"/>
      <w:r w:rsidR="00C14325" w:rsidRPr="00CF56E1">
        <w:rPr>
          <w:rFonts w:ascii="Verdana" w:hAnsi="Verdana" w:cs="Times New Roman"/>
          <w:sz w:val="24"/>
          <w:szCs w:val="24"/>
        </w:rPr>
        <w:t xml:space="preserve"> h</w:t>
      </w:r>
      <w:r w:rsidR="0015181B" w:rsidRPr="00CF56E1">
        <w:rPr>
          <w:rFonts w:ascii="Verdana" w:hAnsi="Verdana" w:cs="Times New Roman"/>
          <w:sz w:val="24"/>
          <w:szCs w:val="24"/>
        </w:rPr>
        <w:t xml:space="preserve">and planters that were delivered </w:t>
      </w:r>
      <w:r w:rsidR="00C92B91" w:rsidRPr="00CF56E1">
        <w:rPr>
          <w:rFonts w:ascii="Verdana" w:hAnsi="Verdana" w:cs="Times New Roman"/>
          <w:sz w:val="24"/>
          <w:szCs w:val="24"/>
        </w:rPr>
        <w:t xml:space="preserve">in Uganda </w:t>
      </w:r>
      <w:r w:rsidR="0015181B" w:rsidRPr="00CF56E1">
        <w:rPr>
          <w:rFonts w:ascii="Verdana" w:hAnsi="Verdana" w:cs="Times New Roman"/>
          <w:sz w:val="24"/>
          <w:szCs w:val="24"/>
        </w:rPr>
        <w:t xml:space="preserve">continue to be used.  </w:t>
      </w:r>
      <w:r w:rsidR="001826BA" w:rsidRPr="00CF56E1">
        <w:rPr>
          <w:rFonts w:ascii="Verdana" w:hAnsi="Verdana" w:cs="Times New Roman"/>
          <w:sz w:val="24"/>
          <w:szCs w:val="24"/>
        </w:rPr>
        <w:t>The number of farmers using th</w:t>
      </w:r>
      <w:r w:rsidR="0015181B" w:rsidRPr="00CF56E1">
        <w:rPr>
          <w:rFonts w:ascii="Verdana" w:hAnsi="Verdana" w:cs="Times New Roman"/>
          <w:sz w:val="24"/>
          <w:szCs w:val="24"/>
        </w:rPr>
        <w:t xml:space="preserve">e </w:t>
      </w:r>
      <w:proofErr w:type="spellStart"/>
      <w:r w:rsidR="000A4B17" w:rsidRPr="00CF56E1">
        <w:rPr>
          <w:rFonts w:ascii="Verdana" w:hAnsi="Verdana" w:cs="Times New Roman"/>
          <w:sz w:val="24"/>
          <w:szCs w:val="24"/>
        </w:rPr>
        <w:t>Greenseeder</w:t>
      </w:r>
      <w:proofErr w:type="spellEnd"/>
      <w:r w:rsidR="0015181B" w:rsidRPr="00CF56E1">
        <w:rPr>
          <w:rFonts w:ascii="Verdana" w:hAnsi="Verdana" w:cs="Times New Roman"/>
          <w:sz w:val="24"/>
          <w:szCs w:val="24"/>
        </w:rPr>
        <w:t xml:space="preserve"> hand planters remain</w:t>
      </w:r>
      <w:r w:rsidR="007F1CF0" w:rsidRPr="00CF56E1">
        <w:rPr>
          <w:rFonts w:ascii="Verdana" w:hAnsi="Verdana" w:cs="Times New Roman"/>
          <w:sz w:val="24"/>
          <w:szCs w:val="24"/>
        </w:rPr>
        <w:t>s</w:t>
      </w:r>
      <w:r w:rsidR="001826BA" w:rsidRPr="00CF56E1">
        <w:rPr>
          <w:rFonts w:ascii="Verdana" w:hAnsi="Verdana" w:cs="Times New Roman"/>
          <w:sz w:val="24"/>
          <w:szCs w:val="24"/>
        </w:rPr>
        <w:t xml:space="preserve"> low as the initial quantities </w:t>
      </w:r>
      <w:r w:rsidR="00C14325" w:rsidRPr="00CF56E1">
        <w:rPr>
          <w:rFonts w:ascii="Verdana" w:hAnsi="Verdana" w:cs="Times New Roman"/>
          <w:sz w:val="24"/>
          <w:szCs w:val="24"/>
        </w:rPr>
        <w:t>available</w:t>
      </w:r>
      <w:r w:rsidR="001826BA" w:rsidRPr="00CF56E1">
        <w:rPr>
          <w:rFonts w:ascii="Verdana" w:hAnsi="Verdana" w:cs="Times New Roman"/>
          <w:sz w:val="24"/>
          <w:szCs w:val="24"/>
        </w:rPr>
        <w:t xml:space="preserve"> were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 initially</w:t>
      </w:r>
      <w:r w:rsidR="001826BA" w:rsidRPr="00CF56E1">
        <w:rPr>
          <w:rFonts w:ascii="Verdana" w:hAnsi="Verdana" w:cs="Times New Roman"/>
          <w:sz w:val="24"/>
          <w:szCs w:val="24"/>
        </w:rPr>
        <w:t xml:space="preserve"> meant for </w:t>
      </w:r>
      <w:r w:rsidR="009D5047" w:rsidRPr="00CF56E1">
        <w:rPr>
          <w:rFonts w:ascii="Verdana" w:hAnsi="Verdana" w:cs="Times New Roman"/>
          <w:sz w:val="24"/>
          <w:szCs w:val="24"/>
        </w:rPr>
        <w:t>extension/</w:t>
      </w:r>
      <w:r w:rsidR="001826BA" w:rsidRPr="00CF56E1">
        <w:rPr>
          <w:rFonts w:ascii="Verdana" w:hAnsi="Verdana" w:cs="Times New Roman"/>
          <w:sz w:val="24"/>
          <w:szCs w:val="24"/>
        </w:rPr>
        <w:t xml:space="preserve">research purposes and only </w:t>
      </w:r>
      <w:r w:rsidR="0015181B" w:rsidRPr="00CF56E1">
        <w:rPr>
          <w:rFonts w:ascii="Verdana" w:hAnsi="Verdana" w:cs="Times New Roman"/>
          <w:sz w:val="24"/>
          <w:szCs w:val="24"/>
        </w:rPr>
        <w:t xml:space="preserve">a </w:t>
      </w:r>
      <w:r w:rsidR="001826BA" w:rsidRPr="00CF56E1">
        <w:rPr>
          <w:rFonts w:ascii="Verdana" w:hAnsi="Verdana" w:cs="Times New Roman"/>
          <w:sz w:val="24"/>
          <w:szCs w:val="24"/>
        </w:rPr>
        <w:t xml:space="preserve">few lucky farmers </w:t>
      </w:r>
      <w:r w:rsidR="0015181B" w:rsidRPr="00CF56E1">
        <w:rPr>
          <w:rFonts w:ascii="Verdana" w:hAnsi="Verdana" w:cs="Times New Roman"/>
          <w:sz w:val="24"/>
          <w:szCs w:val="24"/>
        </w:rPr>
        <w:t>had this tool</w:t>
      </w:r>
      <w:r w:rsidR="001826BA" w:rsidRPr="00CF56E1">
        <w:rPr>
          <w:rFonts w:ascii="Verdana" w:hAnsi="Verdana" w:cs="Times New Roman"/>
          <w:sz w:val="24"/>
          <w:szCs w:val="24"/>
        </w:rPr>
        <w:t xml:space="preserve">. </w:t>
      </w:r>
      <w:r w:rsidR="00B03115" w:rsidRPr="00CF56E1">
        <w:rPr>
          <w:rFonts w:ascii="Verdana" w:hAnsi="Verdana" w:cs="Times New Roman"/>
          <w:sz w:val="24"/>
          <w:szCs w:val="24"/>
        </w:rPr>
        <w:t>Since all the respondents inter</w:t>
      </w:r>
      <w:r w:rsidR="006E4C66" w:rsidRPr="00CF56E1">
        <w:rPr>
          <w:rFonts w:ascii="Verdana" w:hAnsi="Verdana" w:cs="Times New Roman"/>
          <w:sz w:val="24"/>
          <w:szCs w:val="24"/>
        </w:rPr>
        <w:t>viewed were using local hand hoes</w:t>
      </w:r>
      <w:r w:rsidR="00B03115" w:rsidRPr="00CF56E1">
        <w:rPr>
          <w:rFonts w:ascii="Verdana" w:hAnsi="Verdana" w:cs="Times New Roman"/>
          <w:sz w:val="24"/>
          <w:szCs w:val="24"/>
        </w:rPr>
        <w:t xml:space="preserve">, a follow up question on </w:t>
      </w:r>
      <w:r w:rsidR="00B03115" w:rsidRPr="00CF56E1">
        <w:rPr>
          <w:rFonts w:ascii="Verdana" w:hAnsi="Verdana" w:cs="Times New Roman"/>
          <w:sz w:val="24"/>
          <w:szCs w:val="24"/>
        </w:rPr>
        <w:lastRenderedPageBreak/>
        <w:t>ch</w:t>
      </w:r>
      <w:r w:rsidR="006E4C66" w:rsidRPr="00CF56E1">
        <w:rPr>
          <w:rFonts w:ascii="Verdana" w:hAnsi="Verdana" w:cs="Times New Roman"/>
          <w:sz w:val="24"/>
          <w:szCs w:val="24"/>
        </w:rPr>
        <w:t>allenges of using this tool was</w:t>
      </w:r>
      <w:r w:rsidR="00B03115" w:rsidRPr="00CF56E1">
        <w:rPr>
          <w:rFonts w:ascii="Verdana" w:hAnsi="Verdana" w:cs="Times New Roman"/>
          <w:sz w:val="24"/>
          <w:szCs w:val="24"/>
        </w:rPr>
        <w:t xml:space="preserve"> fronted. </w:t>
      </w:r>
      <w:r w:rsidR="007C15E4" w:rsidRPr="00CF56E1">
        <w:rPr>
          <w:rFonts w:ascii="Verdana" w:hAnsi="Verdana" w:cs="Times New Roman"/>
          <w:sz w:val="24"/>
          <w:szCs w:val="24"/>
        </w:rPr>
        <w:t xml:space="preserve">All the farmers (100%) </w:t>
      </w:r>
      <w:r w:rsidR="00B03115" w:rsidRPr="00CF56E1">
        <w:rPr>
          <w:rFonts w:ascii="Verdana" w:hAnsi="Verdana" w:cs="Times New Roman"/>
          <w:sz w:val="24"/>
          <w:szCs w:val="24"/>
        </w:rPr>
        <w:t xml:space="preserve">indicated </w:t>
      </w:r>
      <w:r w:rsidR="00174FEA" w:rsidRPr="00CF56E1">
        <w:rPr>
          <w:rFonts w:ascii="Verdana" w:hAnsi="Verdana" w:cs="Times New Roman"/>
          <w:sz w:val="24"/>
          <w:szCs w:val="24"/>
        </w:rPr>
        <w:t xml:space="preserve">that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the </w:t>
      </w:r>
      <w:r w:rsidR="00174FEA" w:rsidRPr="00CF56E1">
        <w:rPr>
          <w:rFonts w:ascii="Verdana" w:hAnsi="Verdana" w:cs="Times New Roman"/>
          <w:sz w:val="24"/>
          <w:szCs w:val="24"/>
        </w:rPr>
        <w:t>traditional hand</w:t>
      </w:r>
      <w:r w:rsidR="00981A97" w:rsidRPr="00CF56E1">
        <w:rPr>
          <w:rFonts w:ascii="Verdana" w:hAnsi="Verdana" w:cs="Times New Roman"/>
          <w:sz w:val="24"/>
          <w:szCs w:val="24"/>
        </w:rPr>
        <w:t xml:space="preserve"> hoe is very labor intensive, 54</w:t>
      </w:r>
      <w:r w:rsidR="00174FEA" w:rsidRPr="00CF56E1">
        <w:rPr>
          <w:rFonts w:ascii="Verdana" w:hAnsi="Verdana" w:cs="Times New Roman"/>
          <w:sz w:val="24"/>
          <w:szCs w:val="24"/>
        </w:rPr>
        <w:t xml:space="preserve"> percent indicated exposure to chemically treated seeds when us</w:t>
      </w:r>
      <w:r w:rsidR="00981A97" w:rsidRPr="00CF56E1">
        <w:rPr>
          <w:rFonts w:ascii="Verdana" w:hAnsi="Verdana" w:cs="Times New Roman"/>
          <w:sz w:val="24"/>
          <w:szCs w:val="24"/>
        </w:rPr>
        <w:t xml:space="preserve">ing the traditional hand hoe,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and </w:t>
      </w:r>
      <w:r w:rsidR="00981A97" w:rsidRPr="00CF56E1">
        <w:rPr>
          <w:rFonts w:ascii="Verdana" w:hAnsi="Verdana" w:cs="Times New Roman"/>
          <w:sz w:val="24"/>
          <w:szCs w:val="24"/>
        </w:rPr>
        <w:t>22</w:t>
      </w:r>
      <w:r w:rsidR="00174FEA" w:rsidRPr="00CF56E1">
        <w:rPr>
          <w:rFonts w:ascii="Verdana" w:hAnsi="Verdana" w:cs="Times New Roman"/>
          <w:sz w:val="24"/>
          <w:szCs w:val="24"/>
        </w:rPr>
        <w:t xml:space="preserve"> percent reported calluses in their </w:t>
      </w:r>
      <w:r w:rsidR="00EA63FE" w:rsidRPr="00CF56E1">
        <w:rPr>
          <w:rFonts w:ascii="Verdana" w:hAnsi="Verdana" w:cs="Times New Roman"/>
          <w:sz w:val="24"/>
          <w:szCs w:val="24"/>
        </w:rPr>
        <w:t>hands</w:t>
      </w:r>
      <w:r w:rsidR="007C15E4" w:rsidRPr="00CF56E1">
        <w:rPr>
          <w:rFonts w:ascii="Verdana" w:hAnsi="Verdana" w:cs="Times New Roman"/>
          <w:sz w:val="24"/>
          <w:szCs w:val="24"/>
        </w:rPr>
        <w:t xml:space="preserve"> (</w:t>
      </w:r>
      <w:r w:rsidR="00981A97" w:rsidRPr="00CF56E1">
        <w:rPr>
          <w:rFonts w:ascii="Verdana" w:hAnsi="Verdana" w:cs="Times New Roman"/>
          <w:sz w:val="24"/>
          <w:szCs w:val="24"/>
        </w:rPr>
        <w:t>Figure 2</w:t>
      </w:r>
      <w:r w:rsidR="007C15E4" w:rsidRPr="00CF56E1">
        <w:rPr>
          <w:rFonts w:ascii="Verdana" w:hAnsi="Verdana" w:cs="Times New Roman"/>
          <w:sz w:val="24"/>
          <w:szCs w:val="24"/>
        </w:rPr>
        <w:t>)</w:t>
      </w:r>
      <w:r w:rsidR="00EA63FE" w:rsidRPr="00CF56E1">
        <w:rPr>
          <w:rFonts w:ascii="Verdana" w:hAnsi="Verdana" w:cs="Times New Roman"/>
          <w:sz w:val="24"/>
          <w:szCs w:val="24"/>
        </w:rPr>
        <w:t xml:space="preserve">. According to respondents, the labor requirements and exposure to the chemically treated seeds seemed the main problems in using the </w:t>
      </w:r>
      <w:r w:rsidR="006E4C66" w:rsidRPr="00CF56E1">
        <w:rPr>
          <w:rFonts w:ascii="Verdana" w:hAnsi="Verdana" w:cs="Times New Roman"/>
          <w:sz w:val="24"/>
          <w:szCs w:val="24"/>
        </w:rPr>
        <w:t>traditional hand hoes</w:t>
      </w:r>
      <w:r w:rsidR="00757119" w:rsidRPr="00CF56E1">
        <w:rPr>
          <w:rFonts w:ascii="Verdana" w:hAnsi="Verdana" w:cs="Times New Roman"/>
          <w:sz w:val="24"/>
          <w:szCs w:val="24"/>
        </w:rPr>
        <w:t>. They indicated a need f</w:t>
      </w:r>
      <w:r w:rsidR="00C14325" w:rsidRPr="00CF56E1">
        <w:rPr>
          <w:rFonts w:ascii="Verdana" w:hAnsi="Verdana" w:cs="Times New Roman"/>
          <w:sz w:val="24"/>
          <w:szCs w:val="24"/>
        </w:rPr>
        <w:t>or a more labor efficient tool, and one that would house and deliver the seed they were currently handling by hand</w:t>
      </w:r>
      <w:r w:rsidR="00471AE9" w:rsidRPr="00CF56E1">
        <w:rPr>
          <w:rFonts w:ascii="Verdana" w:hAnsi="Verdana" w:cs="Times New Roman"/>
          <w:sz w:val="24"/>
          <w:szCs w:val="24"/>
        </w:rPr>
        <w:t xml:space="preserve"> (potential contamination via seed to skin contact). </w:t>
      </w:r>
    </w:p>
    <w:p w14:paraId="36820CB2" w14:textId="733489ED" w:rsidR="00B103B1" w:rsidRPr="00CF56E1" w:rsidRDefault="00B103B1" w:rsidP="00C11BF2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proofErr w:type="spellStart"/>
      <w:r w:rsidRPr="00CF56E1">
        <w:rPr>
          <w:rFonts w:ascii="Verdana" w:hAnsi="Verdana" w:cs="Times New Roman"/>
          <w:b/>
          <w:sz w:val="24"/>
          <w:szCs w:val="24"/>
        </w:rPr>
        <w:t>Greenseeder</w:t>
      </w:r>
      <w:proofErr w:type="spellEnd"/>
      <w:r w:rsidRPr="00CF56E1">
        <w:rPr>
          <w:rFonts w:ascii="Verdana" w:hAnsi="Verdana" w:cs="Times New Roman"/>
          <w:b/>
          <w:sz w:val="24"/>
          <w:szCs w:val="24"/>
        </w:rPr>
        <w:t xml:space="preserve"> hand planter</w:t>
      </w:r>
    </w:p>
    <w:p w14:paraId="362DD0BF" w14:textId="198269B5" w:rsidR="00E2757F" w:rsidRPr="00CF56E1" w:rsidRDefault="002F3A63" w:rsidP="00C11BF2">
      <w:pPr>
        <w:spacing w:line="360" w:lineRule="auto"/>
        <w:ind w:firstLine="720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sz w:val="24"/>
          <w:szCs w:val="24"/>
        </w:rPr>
        <w:t xml:space="preserve">Respondents using the </w:t>
      </w:r>
      <w:proofErr w:type="spellStart"/>
      <w:r w:rsidR="000A4B17" w:rsidRPr="00CF56E1">
        <w:rPr>
          <w:rFonts w:ascii="Verdana" w:hAnsi="Verdana" w:cs="Times New Roman"/>
          <w:sz w:val="24"/>
          <w:szCs w:val="24"/>
        </w:rPr>
        <w:t>Greenseeder</w:t>
      </w:r>
      <w:proofErr w:type="spellEnd"/>
      <w:r w:rsidRPr="00CF56E1">
        <w:rPr>
          <w:rFonts w:ascii="Verdana" w:hAnsi="Verdana" w:cs="Times New Roman"/>
          <w:sz w:val="24"/>
          <w:szCs w:val="24"/>
        </w:rPr>
        <w:t xml:space="preserve"> hand planter were asked </w:t>
      </w:r>
      <w:r w:rsidR="007F1CF0" w:rsidRPr="00CF56E1">
        <w:rPr>
          <w:rFonts w:ascii="Verdana" w:hAnsi="Verdana" w:cs="Times New Roman"/>
          <w:sz w:val="24"/>
          <w:szCs w:val="24"/>
        </w:rPr>
        <w:t>about</w:t>
      </w:r>
      <w:r w:rsidRPr="00CF56E1">
        <w:rPr>
          <w:rFonts w:ascii="Verdana" w:hAnsi="Verdana" w:cs="Times New Roman"/>
          <w:sz w:val="24"/>
          <w:szCs w:val="24"/>
        </w:rPr>
        <w:t xml:space="preserve"> the mode of acquisition. None of the respondents indicated buying t</w:t>
      </w:r>
      <w:r w:rsidR="00757119" w:rsidRPr="00CF56E1">
        <w:rPr>
          <w:rFonts w:ascii="Verdana" w:hAnsi="Verdana" w:cs="Times New Roman"/>
          <w:sz w:val="24"/>
          <w:szCs w:val="24"/>
        </w:rPr>
        <w:t xml:space="preserve">he </w:t>
      </w:r>
      <w:proofErr w:type="spellStart"/>
      <w:r w:rsidR="00997C85" w:rsidRPr="00CF56E1">
        <w:rPr>
          <w:rFonts w:ascii="Verdana" w:hAnsi="Verdana" w:cs="Times New Roman"/>
          <w:sz w:val="24"/>
          <w:szCs w:val="24"/>
        </w:rPr>
        <w:t>G</w:t>
      </w:r>
      <w:r w:rsidR="00757119" w:rsidRPr="00CF56E1">
        <w:rPr>
          <w:rFonts w:ascii="Verdana" w:hAnsi="Verdana" w:cs="Times New Roman"/>
          <w:sz w:val="24"/>
          <w:szCs w:val="24"/>
        </w:rPr>
        <w:t>reenseeder</w:t>
      </w:r>
      <w:proofErr w:type="spellEnd"/>
      <w:r w:rsidR="00757119" w:rsidRPr="00CF56E1">
        <w:rPr>
          <w:rFonts w:ascii="Verdana" w:hAnsi="Verdana" w:cs="Times New Roman"/>
          <w:sz w:val="24"/>
          <w:szCs w:val="24"/>
        </w:rPr>
        <w:t xml:space="preserve"> hand planter, 69</w:t>
      </w:r>
      <w:r w:rsidRPr="00CF56E1">
        <w:rPr>
          <w:rFonts w:ascii="Verdana" w:hAnsi="Verdana" w:cs="Times New Roman"/>
          <w:sz w:val="24"/>
          <w:szCs w:val="24"/>
        </w:rPr>
        <w:t xml:space="preserve"> percent received the </w:t>
      </w:r>
      <w:proofErr w:type="spellStart"/>
      <w:r w:rsidR="000A4B17" w:rsidRPr="00CF56E1">
        <w:rPr>
          <w:rFonts w:ascii="Verdana" w:hAnsi="Verdana" w:cs="Times New Roman"/>
          <w:sz w:val="24"/>
          <w:szCs w:val="24"/>
        </w:rPr>
        <w:t>Greenseeder</w:t>
      </w:r>
      <w:proofErr w:type="spellEnd"/>
      <w:r w:rsidRPr="00CF56E1">
        <w:rPr>
          <w:rFonts w:ascii="Verdana" w:hAnsi="Verdana" w:cs="Times New Roman"/>
          <w:sz w:val="24"/>
          <w:szCs w:val="24"/>
        </w:rPr>
        <w:t xml:space="preserve"> hand p</w:t>
      </w:r>
      <w:r w:rsidR="00757119" w:rsidRPr="00CF56E1">
        <w:rPr>
          <w:rFonts w:ascii="Verdana" w:hAnsi="Verdana" w:cs="Times New Roman"/>
          <w:sz w:val="24"/>
          <w:szCs w:val="24"/>
        </w:rPr>
        <w:t>lanter through donation while 31</w:t>
      </w:r>
      <w:r w:rsidRPr="00CF56E1">
        <w:rPr>
          <w:rFonts w:ascii="Verdana" w:hAnsi="Verdana" w:cs="Times New Roman"/>
          <w:sz w:val="24"/>
          <w:szCs w:val="24"/>
        </w:rPr>
        <w:t xml:space="preserve"> percent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acquired use of </w:t>
      </w:r>
      <w:r w:rsidRPr="00CF56E1">
        <w:rPr>
          <w:rFonts w:ascii="Verdana" w:hAnsi="Verdana" w:cs="Times New Roman"/>
          <w:sz w:val="24"/>
          <w:szCs w:val="24"/>
        </w:rPr>
        <w:t>the planter from fellow farmers</w:t>
      </w:r>
      <w:r w:rsidR="00757119" w:rsidRPr="00CF56E1">
        <w:rPr>
          <w:rFonts w:ascii="Verdana" w:hAnsi="Verdana" w:cs="Times New Roman"/>
          <w:sz w:val="24"/>
          <w:szCs w:val="24"/>
        </w:rPr>
        <w:t xml:space="preserve"> (Figure 3)</w:t>
      </w:r>
      <w:r w:rsidRPr="00CF56E1">
        <w:rPr>
          <w:rFonts w:ascii="Verdana" w:hAnsi="Verdana" w:cs="Times New Roman"/>
          <w:sz w:val="24"/>
          <w:szCs w:val="24"/>
        </w:rPr>
        <w:t xml:space="preserve">. Asked </w:t>
      </w:r>
      <w:r w:rsidR="007F1CF0" w:rsidRPr="00CF56E1">
        <w:rPr>
          <w:rFonts w:ascii="Verdana" w:hAnsi="Verdana" w:cs="Times New Roman"/>
          <w:sz w:val="24"/>
          <w:szCs w:val="24"/>
        </w:rPr>
        <w:t>about</w:t>
      </w:r>
      <w:r w:rsidRPr="00CF56E1">
        <w:rPr>
          <w:rFonts w:ascii="Verdana" w:hAnsi="Verdana" w:cs="Times New Roman"/>
          <w:sz w:val="24"/>
          <w:szCs w:val="24"/>
        </w:rPr>
        <w:t xml:space="preserve"> the benefits of usin</w:t>
      </w:r>
      <w:r w:rsidR="006E4C66" w:rsidRPr="00CF56E1">
        <w:rPr>
          <w:rFonts w:ascii="Verdana" w:hAnsi="Verdana" w:cs="Times New Roman"/>
          <w:sz w:val="24"/>
          <w:szCs w:val="24"/>
        </w:rPr>
        <w:t xml:space="preserve">g the </w:t>
      </w:r>
      <w:proofErr w:type="spellStart"/>
      <w:r w:rsidR="00997C85" w:rsidRPr="00CF56E1">
        <w:rPr>
          <w:rFonts w:ascii="Verdana" w:hAnsi="Verdana" w:cs="Times New Roman"/>
          <w:sz w:val="24"/>
          <w:szCs w:val="24"/>
        </w:rPr>
        <w:t>G</w:t>
      </w:r>
      <w:r w:rsidR="006E4C66" w:rsidRPr="00CF56E1">
        <w:rPr>
          <w:rFonts w:ascii="Verdana" w:hAnsi="Verdana" w:cs="Times New Roman"/>
          <w:sz w:val="24"/>
          <w:szCs w:val="24"/>
        </w:rPr>
        <w:t>reenseeder</w:t>
      </w:r>
      <w:proofErr w:type="spellEnd"/>
      <w:r w:rsidR="006E4C66" w:rsidRPr="00CF56E1">
        <w:rPr>
          <w:rFonts w:ascii="Verdana" w:hAnsi="Verdana" w:cs="Times New Roman"/>
          <w:sz w:val="24"/>
          <w:szCs w:val="24"/>
        </w:rPr>
        <w:t xml:space="preserve"> hand planter</w:t>
      </w:r>
      <w:r w:rsidRPr="00CF56E1">
        <w:rPr>
          <w:rFonts w:ascii="Verdana" w:hAnsi="Verdana" w:cs="Times New Roman"/>
          <w:sz w:val="24"/>
          <w:szCs w:val="24"/>
        </w:rPr>
        <w:t>, all respondents, 100 percent</w:t>
      </w:r>
      <w:r w:rsidR="006E4C66" w:rsidRPr="00CF56E1">
        <w:rPr>
          <w:rFonts w:ascii="Verdana" w:hAnsi="Verdana" w:cs="Times New Roman"/>
          <w:sz w:val="24"/>
          <w:szCs w:val="24"/>
        </w:rPr>
        <w:t>,</w:t>
      </w:r>
      <w:r w:rsidRPr="00CF56E1">
        <w:rPr>
          <w:rFonts w:ascii="Verdana" w:hAnsi="Verdana" w:cs="Times New Roman"/>
          <w:sz w:val="24"/>
          <w:szCs w:val="24"/>
        </w:rPr>
        <w:t xml:space="preserve"> indicated that it is a labor saving tool, 55 percent noted reduced exposure to chemically treated s</w:t>
      </w:r>
      <w:r w:rsidR="006E4C66" w:rsidRPr="00CF56E1">
        <w:rPr>
          <w:rFonts w:ascii="Verdana" w:hAnsi="Verdana" w:cs="Times New Roman"/>
          <w:sz w:val="24"/>
          <w:szCs w:val="24"/>
        </w:rPr>
        <w:t>eed</w:t>
      </w:r>
      <w:r w:rsidR="00FB3CB7" w:rsidRPr="00CF56E1">
        <w:rPr>
          <w:rFonts w:ascii="Verdana" w:hAnsi="Verdana" w:cs="Times New Roman"/>
          <w:sz w:val="24"/>
          <w:szCs w:val="24"/>
        </w:rPr>
        <w:t>s</w:t>
      </w:r>
      <w:r w:rsidR="006E4C66" w:rsidRPr="00CF56E1">
        <w:rPr>
          <w:rFonts w:ascii="Verdana" w:hAnsi="Verdana" w:cs="Times New Roman"/>
          <w:sz w:val="24"/>
          <w:szCs w:val="24"/>
        </w:rPr>
        <w:t xml:space="preserve"> while </w:t>
      </w:r>
      <w:r w:rsidR="00E7572E" w:rsidRPr="00CF56E1">
        <w:rPr>
          <w:rFonts w:ascii="Verdana" w:hAnsi="Verdana" w:cs="Times New Roman"/>
          <w:sz w:val="24"/>
          <w:szCs w:val="24"/>
        </w:rPr>
        <w:t>85</w:t>
      </w:r>
      <w:r w:rsidRPr="00CF56E1">
        <w:rPr>
          <w:rFonts w:ascii="Verdana" w:hAnsi="Verdana" w:cs="Times New Roman"/>
          <w:sz w:val="24"/>
          <w:szCs w:val="24"/>
        </w:rPr>
        <w:t xml:space="preserve"> percent </w:t>
      </w:r>
      <w:r w:rsidR="00E7572E" w:rsidRPr="00CF56E1">
        <w:rPr>
          <w:rFonts w:ascii="Verdana" w:hAnsi="Verdana" w:cs="Times New Roman"/>
          <w:sz w:val="24"/>
          <w:szCs w:val="24"/>
        </w:rPr>
        <w:t xml:space="preserve">reported </w:t>
      </w:r>
      <w:r w:rsidRPr="00CF56E1">
        <w:rPr>
          <w:rFonts w:ascii="Verdana" w:hAnsi="Verdana" w:cs="Times New Roman"/>
          <w:sz w:val="24"/>
          <w:szCs w:val="24"/>
        </w:rPr>
        <w:t xml:space="preserve">increased maize grain yield </w:t>
      </w:r>
      <w:r w:rsidR="006E4C66" w:rsidRPr="00CF56E1">
        <w:rPr>
          <w:rFonts w:ascii="Verdana" w:hAnsi="Verdana" w:cs="Times New Roman"/>
          <w:sz w:val="24"/>
          <w:szCs w:val="24"/>
        </w:rPr>
        <w:t>(50% of the average 2 Mg ha</w:t>
      </w:r>
      <w:r w:rsidR="006E4C66" w:rsidRPr="00CF56E1">
        <w:rPr>
          <w:rFonts w:ascii="Verdana" w:hAnsi="Verdana" w:cs="Times New Roman"/>
          <w:sz w:val="24"/>
          <w:szCs w:val="24"/>
          <w:vertAlign w:val="superscript"/>
        </w:rPr>
        <w:t>-1</w:t>
      </w:r>
      <w:r w:rsidR="006E4C66" w:rsidRPr="00CF56E1">
        <w:rPr>
          <w:rFonts w:ascii="Verdana" w:hAnsi="Verdana" w:cs="Times New Roman"/>
          <w:sz w:val="24"/>
          <w:szCs w:val="24"/>
        </w:rPr>
        <w:t xml:space="preserve">) </w:t>
      </w:r>
      <w:r w:rsidRPr="00CF56E1">
        <w:rPr>
          <w:rFonts w:ascii="Verdana" w:hAnsi="Verdana" w:cs="Times New Roman"/>
          <w:sz w:val="24"/>
          <w:szCs w:val="24"/>
        </w:rPr>
        <w:t xml:space="preserve">using the </w:t>
      </w:r>
      <w:proofErr w:type="spellStart"/>
      <w:r w:rsidR="00997C85" w:rsidRPr="00CF56E1">
        <w:rPr>
          <w:rFonts w:ascii="Verdana" w:hAnsi="Verdana" w:cs="Times New Roman"/>
          <w:sz w:val="24"/>
          <w:szCs w:val="24"/>
        </w:rPr>
        <w:t>G</w:t>
      </w:r>
      <w:r w:rsidRPr="00CF56E1">
        <w:rPr>
          <w:rFonts w:ascii="Verdana" w:hAnsi="Verdana" w:cs="Times New Roman"/>
          <w:sz w:val="24"/>
          <w:szCs w:val="24"/>
        </w:rPr>
        <w:t>reenseeder</w:t>
      </w:r>
      <w:proofErr w:type="spellEnd"/>
      <w:r w:rsidRPr="00CF56E1">
        <w:rPr>
          <w:rFonts w:ascii="Verdana" w:hAnsi="Verdana" w:cs="Times New Roman"/>
          <w:sz w:val="24"/>
          <w:szCs w:val="24"/>
        </w:rPr>
        <w:t xml:space="preserve"> hand planter. </w:t>
      </w:r>
    </w:p>
    <w:p w14:paraId="579026B2" w14:textId="3EE729FD" w:rsidR="000D6A17" w:rsidRDefault="00E7572E" w:rsidP="00F97AF9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sz w:val="24"/>
          <w:szCs w:val="24"/>
        </w:rPr>
        <w:t xml:space="preserve">When respondents were asked </w:t>
      </w:r>
      <w:r w:rsidR="007F1CF0" w:rsidRPr="00CF56E1">
        <w:rPr>
          <w:rFonts w:ascii="Verdana" w:hAnsi="Verdana" w:cs="Times New Roman"/>
          <w:sz w:val="24"/>
          <w:szCs w:val="24"/>
        </w:rPr>
        <w:t>about</w:t>
      </w:r>
      <w:r w:rsidRPr="00CF56E1">
        <w:rPr>
          <w:rFonts w:ascii="Verdana" w:hAnsi="Verdana" w:cs="Times New Roman"/>
          <w:sz w:val="24"/>
          <w:szCs w:val="24"/>
        </w:rPr>
        <w:t xml:space="preserve"> what they think are possible reasons that would hinder the </w:t>
      </w:r>
      <w:r w:rsidR="00012838" w:rsidRPr="00CF56E1">
        <w:rPr>
          <w:rFonts w:ascii="Verdana" w:hAnsi="Verdana" w:cs="Times New Roman"/>
          <w:sz w:val="24"/>
          <w:szCs w:val="24"/>
        </w:rPr>
        <w:t>adoption</w:t>
      </w:r>
      <w:r w:rsidRPr="00CF56E1">
        <w:rPr>
          <w:rFonts w:ascii="Verdana" w:hAnsi="Verdana" w:cs="Times New Roman"/>
          <w:sz w:val="24"/>
          <w:szCs w:val="24"/>
        </w:rPr>
        <w:t xml:space="preserve"> of the </w:t>
      </w:r>
      <w:proofErr w:type="spellStart"/>
      <w:r w:rsidR="00997C85" w:rsidRPr="00CF56E1">
        <w:rPr>
          <w:rFonts w:ascii="Verdana" w:hAnsi="Verdana" w:cs="Times New Roman"/>
          <w:sz w:val="24"/>
          <w:szCs w:val="24"/>
        </w:rPr>
        <w:t>G</w:t>
      </w:r>
      <w:r w:rsidRPr="00CF56E1">
        <w:rPr>
          <w:rFonts w:ascii="Verdana" w:hAnsi="Verdana" w:cs="Times New Roman"/>
          <w:sz w:val="24"/>
          <w:szCs w:val="24"/>
        </w:rPr>
        <w:t>reenseeder</w:t>
      </w:r>
      <w:proofErr w:type="spellEnd"/>
      <w:r w:rsidRPr="00CF56E1">
        <w:rPr>
          <w:rFonts w:ascii="Verdana" w:hAnsi="Verdana" w:cs="Times New Roman"/>
          <w:sz w:val="24"/>
          <w:szCs w:val="24"/>
        </w:rPr>
        <w:t xml:space="preserve"> hand planter, </w:t>
      </w:r>
      <w:r w:rsidR="00012838" w:rsidRPr="00CF56E1">
        <w:rPr>
          <w:rFonts w:ascii="Verdana" w:hAnsi="Verdana" w:cs="Times New Roman"/>
          <w:sz w:val="24"/>
          <w:szCs w:val="24"/>
        </w:rPr>
        <w:t xml:space="preserve">33 percent </w:t>
      </w:r>
      <w:r w:rsidR="007F1CF0" w:rsidRPr="00CF56E1">
        <w:rPr>
          <w:rFonts w:ascii="Verdana" w:hAnsi="Verdana" w:cs="Times New Roman"/>
          <w:sz w:val="24"/>
          <w:szCs w:val="24"/>
        </w:rPr>
        <w:t>said</w:t>
      </w:r>
      <w:r w:rsidR="00012838" w:rsidRPr="00CF56E1">
        <w:rPr>
          <w:rFonts w:ascii="Verdana" w:hAnsi="Verdana" w:cs="Times New Roman"/>
          <w:sz w:val="24"/>
          <w:szCs w:val="24"/>
        </w:rPr>
        <w:t xml:space="preserve"> the tool is not affordable</w:t>
      </w:r>
      <w:r w:rsidR="004068CB" w:rsidRPr="00CF56E1">
        <w:rPr>
          <w:rFonts w:ascii="Verdana" w:hAnsi="Verdana" w:cs="Times New Roman"/>
          <w:sz w:val="24"/>
          <w:szCs w:val="24"/>
        </w:rPr>
        <w:t xml:space="preserve"> at current pricing</w:t>
      </w:r>
      <w:r w:rsidR="00012838" w:rsidRPr="00CF56E1">
        <w:rPr>
          <w:rFonts w:ascii="Verdana" w:hAnsi="Verdana" w:cs="Times New Roman"/>
          <w:sz w:val="24"/>
          <w:szCs w:val="24"/>
        </w:rPr>
        <w:t xml:space="preserve">, 16 percent indicated that the tool can only be used to plant </w:t>
      </w:r>
      <w:r w:rsidR="007F1CF0" w:rsidRPr="00CF56E1">
        <w:rPr>
          <w:rFonts w:ascii="Verdana" w:hAnsi="Verdana" w:cs="Times New Roman"/>
          <w:sz w:val="24"/>
          <w:szCs w:val="24"/>
        </w:rPr>
        <w:t xml:space="preserve">a </w:t>
      </w:r>
      <w:r w:rsidR="00012838" w:rsidRPr="00CF56E1">
        <w:rPr>
          <w:rFonts w:ascii="Verdana" w:hAnsi="Verdana" w:cs="Times New Roman"/>
          <w:sz w:val="24"/>
          <w:szCs w:val="24"/>
        </w:rPr>
        <w:t xml:space="preserve">few selected large seeded crops like, maize, beans and </w:t>
      </w:r>
      <w:r w:rsidR="00B03115" w:rsidRPr="00CF56E1">
        <w:rPr>
          <w:rFonts w:ascii="Verdana" w:hAnsi="Verdana" w:cs="Times New Roman"/>
          <w:sz w:val="24"/>
          <w:szCs w:val="24"/>
        </w:rPr>
        <w:t>soybeans among others. Up to 84</w:t>
      </w:r>
      <w:r w:rsidR="00012838" w:rsidRPr="00CF56E1">
        <w:rPr>
          <w:rFonts w:ascii="Verdana" w:hAnsi="Verdana" w:cs="Times New Roman"/>
          <w:sz w:val="24"/>
          <w:szCs w:val="24"/>
        </w:rPr>
        <w:t xml:space="preserve"> percent of respondents indicated the non-availability of the planters locally as the main reason that would </w:t>
      </w:r>
      <w:r w:rsidR="00B03115" w:rsidRPr="00CF56E1">
        <w:rPr>
          <w:rFonts w:ascii="Verdana" w:hAnsi="Verdana" w:cs="Times New Roman"/>
          <w:sz w:val="24"/>
          <w:szCs w:val="24"/>
        </w:rPr>
        <w:t>hinder adoption of the planters</w:t>
      </w:r>
      <w:r w:rsidR="004068CB" w:rsidRPr="00CF56E1">
        <w:rPr>
          <w:rFonts w:ascii="Verdana" w:hAnsi="Verdana" w:cs="Times New Roman"/>
          <w:sz w:val="24"/>
          <w:szCs w:val="24"/>
        </w:rPr>
        <w:t xml:space="preserve"> (</w:t>
      </w:r>
      <w:r w:rsidR="007C3504" w:rsidRPr="00CF56E1">
        <w:rPr>
          <w:rFonts w:ascii="Verdana" w:hAnsi="Verdana" w:cs="Times New Roman"/>
          <w:sz w:val="24"/>
          <w:szCs w:val="24"/>
        </w:rPr>
        <w:t>Figure 4</w:t>
      </w:r>
      <w:r w:rsidR="004068CB" w:rsidRPr="00CF56E1">
        <w:rPr>
          <w:rFonts w:ascii="Verdana" w:hAnsi="Verdana" w:cs="Times New Roman"/>
          <w:sz w:val="24"/>
          <w:szCs w:val="24"/>
        </w:rPr>
        <w:t>)</w:t>
      </w:r>
      <w:r w:rsidR="00B03115" w:rsidRPr="00CF56E1">
        <w:rPr>
          <w:rFonts w:ascii="Verdana" w:hAnsi="Verdana" w:cs="Times New Roman"/>
          <w:sz w:val="24"/>
          <w:szCs w:val="24"/>
        </w:rPr>
        <w:t xml:space="preserve">. </w:t>
      </w:r>
      <w:r w:rsidR="004068CB" w:rsidRPr="00CF56E1">
        <w:rPr>
          <w:rFonts w:ascii="Verdana" w:hAnsi="Verdana" w:cs="Times New Roman"/>
          <w:sz w:val="24"/>
          <w:szCs w:val="24"/>
        </w:rPr>
        <w:t xml:space="preserve">When respondents were asked </w:t>
      </w:r>
      <w:r w:rsidR="007F1CF0" w:rsidRPr="00CF56E1">
        <w:rPr>
          <w:rFonts w:ascii="Verdana" w:hAnsi="Verdana" w:cs="Times New Roman"/>
          <w:sz w:val="24"/>
          <w:szCs w:val="24"/>
        </w:rPr>
        <w:t>about</w:t>
      </w:r>
      <w:r w:rsidR="004068CB" w:rsidRPr="00CF56E1">
        <w:rPr>
          <w:rFonts w:ascii="Verdana" w:hAnsi="Verdana" w:cs="Times New Roman"/>
          <w:sz w:val="24"/>
          <w:szCs w:val="24"/>
        </w:rPr>
        <w:t xml:space="preserve"> their likelihood of recommending the </w:t>
      </w:r>
      <w:proofErr w:type="spellStart"/>
      <w:r w:rsidR="00997C85" w:rsidRPr="00CF56E1">
        <w:rPr>
          <w:rFonts w:ascii="Verdana" w:hAnsi="Verdana" w:cs="Times New Roman"/>
          <w:sz w:val="24"/>
          <w:szCs w:val="24"/>
        </w:rPr>
        <w:t>G</w:t>
      </w:r>
      <w:r w:rsidR="004068CB" w:rsidRPr="00CF56E1">
        <w:rPr>
          <w:rFonts w:ascii="Verdana" w:hAnsi="Verdana" w:cs="Times New Roman"/>
          <w:sz w:val="24"/>
          <w:szCs w:val="24"/>
        </w:rPr>
        <w:t>reenseeder</w:t>
      </w:r>
      <w:proofErr w:type="spellEnd"/>
      <w:r w:rsidR="004068CB" w:rsidRPr="00CF56E1">
        <w:rPr>
          <w:rFonts w:ascii="Verdana" w:hAnsi="Verdana" w:cs="Times New Roman"/>
          <w:sz w:val="24"/>
          <w:szCs w:val="24"/>
        </w:rPr>
        <w:t xml:space="preserve"> hand planter to f</w:t>
      </w:r>
      <w:r w:rsidR="00F06176" w:rsidRPr="00CF56E1">
        <w:rPr>
          <w:rFonts w:ascii="Verdana" w:hAnsi="Verdana" w:cs="Times New Roman"/>
          <w:sz w:val="24"/>
          <w:szCs w:val="24"/>
        </w:rPr>
        <w:t>ellow farmers, 94</w:t>
      </w:r>
      <w:r w:rsidR="004068CB" w:rsidRPr="00CF56E1">
        <w:rPr>
          <w:rFonts w:ascii="Verdana" w:hAnsi="Verdana" w:cs="Times New Roman"/>
          <w:sz w:val="24"/>
          <w:szCs w:val="24"/>
        </w:rPr>
        <w:t xml:space="preserve"> percent indicated they would most likely recommend this tool to a fellow farmer to use (</w:t>
      </w:r>
      <w:r w:rsidR="007C3504" w:rsidRPr="00CF56E1">
        <w:rPr>
          <w:rFonts w:ascii="Verdana" w:hAnsi="Verdana" w:cs="Times New Roman"/>
          <w:sz w:val="24"/>
          <w:szCs w:val="24"/>
        </w:rPr>
        <w:t>Figure 5</w:t>
      </w:r>
      <w:r w:rsidR="004068CB" w:rsidRPr="00CF56E1">
        <w:rPr>
          <w:rFonts w:ascii="Verdana" w:hAnsi="Verdana" w:cs="Times New Roman"/>
          <w:sz w:val="24"/>
          <w:szCs w:val="24"/>
        </w:rPr>
        <w:t>).</w:t>
      </w:r>
    </w:p>
    <w:p w14:paraId="45429CC3" w14:textId="2784B41E" w:rsidR="009658A2" w:rsidRDefault="009658A2" w:rsidP="00F97AF9">
      <w:pPr>
        <w:spacing w:line="360" w:lineRule="auto"/>
        <w:rPr>
          <w:rFonts w:ascii="Verdana" w:hAnsi="Verdana" w:cs="Times New Roman"/>
          <w:sz w:val="24"/>
          <w:szCs w:val="24"/>
        </w:rPr>
      </w:pPr>
    </w:p>
    <w:p w14:paraId="28FE9D1F" w14:textId="4ADE66E8" w:rsidR="009658A2" w:rsidRDefault="009658A2" w:rsidP="00F97AF9">
      <w:pPr>
        <w:spacing w:line="360" w:lineRule="auto"/>
        <w:rPr>
          <w:rFonts w:ascii="Verdana" w:hAnsi="Verdana" w:cs="Times New Roman"/>
          <w:sz w:val="24"/>
          <w:szCs w:val="24"/>
        </w:rPr>
      </w:pPr>
    </w:p>
    <w:p w14:paraId="511EB868" w14:textId="77777777" w:rsidR="009658A2" w:rsidRPr="00CF56E1" w:rsidRDefault="009658A2" w:rsidP="00F97AF9">
      <w:pPr>
        <w:spacing w:line="360" w:lineRule="auto"/>
        <w:rPr>
          <w:rFonts w:ascii="Verdana" w:hAnsi="Verdana" w:cs="Times New Roman"/>
          <w:sz w:val="24"/>
          <w:szCs w:val="24"/>
        </w:rPr>
      </w:pPr>
    </w:p>
    <w:p w14:paraId="2C239913" w14:textId="5DA6BD01" w:rsidR="00DD004C" w:rsidRPr="00CF56E1" w:rsidRDefault="00DD004C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lastRenderedPageBreak/>
        <w:t>Table 1</w:t>
      </w:r>
      <w:r w:rsidRPr="00CF56E1">
        <w:rPr>
          <w:rFonts w:ascii="Verdana" w:hAnsi="Verdana" w:cs="Times New Roman"/>
          <w:sz w:val="24"/>
          <w:szCs w:val="24"/>
        </w:rPr>
        <w:t>. Demographic characteristics of respondents in Norther</w:t>
      </w:r>
      <w:r w:rsidR="00DC201D" w:rsidRPr="00CF56E1">
        <w:rPr>
          <w:rFonts w:ascii="Verdana" w:hAnsi="Verdana" w:cs="Times New Roman"/>
          <w:sz w:val="24"/>
          <w:szCs w:val="24"/>
        </w:rPr>
        <w:t xml:space="preserve">n </w:t>
      </w:r>
      <w:r w:rsidR="009D5047" w:rsidRPr="00CF56E1">
        <w:rPr>
          <w:rFonts w:ascii="Verdana" w:hAnsi="Verdana" w:cs="Times New Roman"/>
          <w:sz w:val="24"/>
          <w:szCs w:val="24"/>
        </w:rPr>
        <w:t>Uganda</w:t>
      </w:r>
      <w:r w:rsidR="000D2396">
        <w:rPr>
          <w:rFonts w:ascii="Verdana" w:hAnsi="Verdana" w:cs="Times New Roman"/>
          <w:sz w:val="24"/>
          <w:szCs w:val="24"/>
        </w:rPr>
        <w:t xml:space="preserve"> </w:t>
      </w:r>
      <w:r w:rsidRPr="00CF56E1">
        <w:rPr>
          <w:rFonts w:ascii="Verdana" w:hAnsi="Verdana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245"/>
        <w:gridCol w:w="2605"/>
      </w:tblGrid>
      <w:tr w:rsidR="00DD004C" w:rsidRPr="00CF56E1" w14:paraId="452BD1FA" w14:textId="77777777" w:rsidTr="00965461">
        <w:tc>
          <w:tcPr>
            <w:tcW w:w="3235" w:type="dxa"/>
            <w:tcBorders>
              <w:bottom w:val="single" w:sz="4" w:space="0" w:color="auto"/>
            </w:tcBorders>
          </w:tcPr>
          <w:p w14:paraId="6CB43010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b/>
                <w:sz w:val="24"/>
                <w:szCs w:val="24"/>
              </w:rPr>
              <w:t xml:space="preserve">Demographic character </w:t>
            </w: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57A4BE90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b/>
                <w:sz w:val="24"/>
                <w:szCs w:val="24"/>
              </w:rPr>
              <w:t xml:space="preserve">Frequency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14:paraId="662F71C0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b/>
                <w:sz w:val="24"/>
                <w:szCs w:val="24"/>
              </w:rPr>
              <w:t>Percent (%)</w:t>
            </w:r>
          </w:p>
        </w:tc>
      </w:tr>
      <w:tr w:rsidR="00DD004C" w:rsidRPr="00CF56E1" w14:paraId="1D50C41B" w14:textId="77777777" w:rsidTr="00965461">
        <w:tc>
          <w:tcPr>
            <w:tcW w:w="3235" w:type="dxa"/>
            <w:tcBorders>
              <w:top w:val="single" w:sz="4" w:space="0" w:color="auto"/>
              <w:bottom w:val="nil"/>
            </w:tcBorders>
          </w:tcPr>
          <w:p w14:paraId="3D234DFF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b/>
                <w:sz w:val="24"/>
                <w:szCs w:val="24"/>
              </w:rPr>
              <w:t>Sex</w:t>
            </w:r>
          </w:p>
        </w:tc>
        <w:tc>
          <w:tcPr>
            <w:tcW w:w="3245" w:type="dxa"/>
            <w:tcBorders>
              <w:top w:val="single" w:sz="4" w:space="0" w:color="auto"/>
              <w:bottom w:val="nil"/>
            </w:tcBorders>
          </w:tcPr>
          <w:p w14:paraId="0E73F1E0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</w:tcPr>
          <w:p w14:paraId="1112E7BC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DD004C" w:rsidRPr="00CF56E1" w14:paraId="0EB4A482" w14:textId="77777777" w:rsidTr="00965461">
        <w:tc>
          <w:tcPr>
            <w:tcW w:w="3235" w:type="dxa"/>
            <w:tcBorders>
              <w:top w:val="nil"/>
            </w:tcBorders>
          </w:tcPr>
          <w:p w14:paraId="3E800B1D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F</w:t>
            </w:r>
          </w:p>
        </w:tc>
        <w:tc>
          <w:tcPr>
            <w:tcW w:w="3245" w:type="dxa"/>
            <w:tcBorders>
              <w:top w:val="nil"/>
            </w:tcBorders>
          </w:tcPr>
          <w:p w14:paraId="51372011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29</w:t>
            </w:r>
          </w:p>
        </w:tc>
        <w:tc>
          <w:tcPr>
            <w:tcW w:w="2605" w:type="dxa"/>
            <w:tcBorders>
              <w:top w:val="nil"/>
            </w:tcBorders>
          </w:tcPr>
          <w:p w14:paraId="4AD5FF6C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58</w:t>
            </w:r>
          </w:p>
        </w:tc>
      </w:tr>
      <w:tr w:rsidR="00DD004C" w:rsidRPr="00CF56E1" w14:paraId="097B76F2" w14:textId="77777777" w:rsidTr="00965461">
        <w:tc>
          <w:tcPr>
            <w:tcW w:w="3235" w:type="dxa"/>
          </w:tcPr>
          <w:p w14:paraId="4317D3A3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M</w:t>
            </w:r>
          </w:p>
        </w:tc>
        <w:tc>
          <w:tcPr>
            <w:tcW w:w="3245" w:type="dxa"/>
          </w:tcPr>
          <w:p w14:paraId="041EE7D7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21</w:t>
            </w:r>
          </w:p>
        </w:tc>
        <w:tc>
          <w:tcPr>
            <w:tcW w:w="2605" w:type="dxa"/>
          </w:tcPr>
          <w:p w14:paraId="30B0CB7E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42</w:t>
            </w:r>
          </w:p>
        </w:tc>
      </w:tr>
      <w:tr w:rsidR="00DD004C" w:rsidRPr="00CF56E1" w14:paraId="21CF5ACC" w14:textId="77777777" w:rsidTr="00965461">
        <w:tc>
          <w:tcPr>
            <w:tcW w:w="3235" w:type="dxa"/>
          </w:tcPr>
          <w:p w14:paraId="608ED10B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b/>
                <w:sz w:val="24"/>
                <w:szCs w:val="24"/>
              </w:rPr>
              <w:t>Age group</w:t>
            </w:r>
          </w:p>
        </w:tc>
        <w:tc>
          <w:tcPr>
            <w:tcW w:w="3245" w:type="dxa"/>
          </w:tcPr>
          <w:p w14:paraId="61F67680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</w:tcPr>
          <w:p w14:paraId="472CEEBB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DD004C" w:rsidRPr="00CF56E1" w14:paraId="0DF45D13" w14:textId="77777777" w:rsidTr="00965461">
        <w:tc>
          <w:tcPr>
            <w:tcW w:w="3235" w:type="dxa"/>
          </w:tcPr>
          <w:p w14:paraId="2ADAF5F0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21-30</w:t>
            </w:r>
          </w:p>
        </w:tc>
        <w:tc>
          <w:tcPr>
            <w:tcW w:w="3245" w:type="dxa"/>
          </w:tcPr>
          <w:p w14:paraId="2D19CA03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29</w:t>
            </w:r>
          </w:p>
        </w:tc>
        <w:tc>
          <w:tcPr>
            <w:tcW w:w="2605" w:type="dxa"/>
          </w:tcPr>
          <w:p w14:paraId="5167960D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58</w:t>
            </w:r>
          </w:p>
        </w:tc>
      </w:tr>
      <w:tr w:rsidR="00DD004C" w:rsidRPr="00CF56E1" w14:paraId="4DF4EA7A" w14:textId="77777777" w:rsidTr="00965461">
        <w:tc>
          <w:tcPr>
            <w:tcW w:w="3235" w:type="dxa"/>
          </w:tcPr>
          <w:p w14:paraId="72A3480A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31-40</w:t>
            </w:r>
          </w:p>
        </w:tc>
        <w:tc>
          <w:tcPr>
            <w:tcW w:w="3245" w:type="dxa"/>
          </w:tcPr>
          <w:p w14:paraId="7D0F92ED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14:paraId="5984927F" w14:textId="77777777" w:rsidR="00DD004C" w:rsidRPr="00CF56E1" w:rsidRDefault="00550E73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36</w:t>
            </w:r>
          </w:p>
        </w:tc>
      </w:tr>
      <w:tr w:rsidR="00DD004C" w:rsidRPr="00CF56E1" w14:paraId="37E9B86C" w14:textId="77777777" w:rsidTr="00965461">
        <w:tc>
          <w:tcPr>
            <w:tcW w:w="3235" w:type="dxa"/>
          </w:tcPr>
          <w:p w14:paraId="47D42A14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41-50</w:t>
            </w:r>
          </w:p>
        </w:tc>
        <w:tc>
          <w:tcPr>
            <w:tcW w:w="3245" w:type="dxa"/>
          </w:tcPr>
          <w:p w14:paraId="315F205A" w14:textId="77777777" w:rsidR="00DD004C" w:rsidRPr="00CF56E1" w:rsidRDefault="00DD004C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2968E36E" w14:textId="77777777" w:rsidR="00DD004C" w:rsidRPr="00CF56E1" w:rsidRDefault="00550E73">
            <w:pPr>
              <w:spacing w:line="360" w:lineRule="auto"/>
              <w:rPr>
                <w:rFonts w:ascii="Verdana" w:hAnsi="Verdana" w:cs="Times New Roman"/>
                <w:sz w:val="24"/>
                <w:szCs w:val="24"/>
              </w:rPr>
            </w:pPr>
            <w:r w:rsidRPr="00CF56E1">
              <w:rPr>
                <w:rFonts w:ascii="Verdana" w:hAnsi="Verdana" w:cs="Times New Roman"/>
                <w:sz w:val="24"/>
                <w:szCs w:val="24"/>
              </w:rPr>
              <w:t>6</w:t>
            </w:r>
          </w:p>
        </w:tc>
      </w:tr>
    </w:tbl>
    <w:p w14:paraId="7BBC3091" w14:textId="77777777" w:rsidR="00C61A8A" w:rsidRPr="00CF56E1" w:rsidRDefault="00C61A8A" w:rsidP="00C11BF2">
      <w:pPr>
        <w:spacing w:line="360" w:lineRule="auto"/>
        <w:rPr>
          <w:rFonts w:ascii="Verdana" w:hAnsi="Verdana" w:cs="Times New Roman"/>
          <w:sz w:val="24"/>
          <w:szCs w:val="24"/>
        </w:rPr>
      </w:pPr>
    </w:p>
    <w:p w14:paraId="7DA02C73" w14:textId="77777777" w:rsidR="00C61A8A" w:rsidRPr="00CF56E1" w:rsidRDefault="00261907" w:rsidP="00C11BF2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noProof/>
          <w:sz w:val="24"/>
          <w:szCs w:val="24"/>
        </w:rPr>
        <w:drawing>
          <wp:inline distT="0" distB="0" distL="0" distR="0" wp14:anchorId="170B28A9" wp14:editId="222399F6">
            <wp:extent cx="5530850" cy="35433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4D628B3" w14:textId="07E1ED27" w:rsidR="00261907" w:rsidRPr="00CF56E1" w:rsidRDefault="00C61A8A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>Figure 1.</w:t>
      </w:r>
      <w:r w:rsidRPr="00CF56E1">
        <w:rPr>
          <w:rFonts w:ascii="Verdana" w:hAnsi="Verdana" w:cs="Times New Roman"/>
          <w:sz w:val="24"/>
          <w:szCs w:val="24"/>
        </w:rPr>
        <w:t xml:space="preserve"> Major crops cultivated </w:t>
      </w:r>
      <w:r w:rsidR="00084780" w:rsidRPr="00CF56E1">
        <w:rPr>
          <w:rFonts w:ascii="Verdana" w:hAnsi="Verdana" w:cs="Times New Roman"/>
          <w:sz w:val="24"/>
          <w:szCs w:val="24"/>
        </w:rPr>
        <w:t xml:space="preserve">by respondents </w:t>
      </w:r>
      <w:r w:rsidRPr="00CF56E1">
        <w:rPr>
          <w:rFonts w:ascii="Verdana" w:hAnsi="Verdana" w:cs="Times New Roman"/>
          <w:sz w:val="24"/>
          <w:szCs w:val="24"/>
        </w:rPr>
        <w:t xml:space="preserve">in Northern </w:t>
      </w:r>
      <w:r w:rsidR="009D5047" w:rsidRPr="00CF56E1">
        <w:rPr>
          <w:rFonts w:ascii="Verdana" w:hAnsi="Verdana" w:cs="Times New Roman"/>
          <w:sz w:val="24"/>
          <w:szCs w:val="24"/>
        </w:rPr>
        <w:t>Uganda</w:t>
      </w:r>
      <w:r w:rsidRPr="00CF56E1">
        <w:rPr>
          <w:rFonts w:ascii="Verdana" w:hAnsi="Verdana" w:cs="Times New Roman"/>
          <w:sz w:val="24"/>
          <w:szCs w:val="24"/>
        </w:rPr>
        <w:t xml:space="preserve">. </w:t>
      </w:r>
    </w:p>
    <w:p w14:paraId="26E40451" w14:textId="77777777" w:rsidR="00DD004C" w:rsidRPr="00CF56E1" w:rsidRDefault="00DD004C">
      <w:pPr>
        <w:rPr>
          <w:rFonts w:ascii="Verdana" w:hAnsi="Verdana" w:cs="Times New Roman"/>
          <w:sz w:val="24"/>
          <w:szCs w:val="24"/>
        </w:rPr>
      </w:pPr>
    </w:p>
    <w:p w14:paraId="14864E20" w14:textId="77777777" w:rsidR="00084780" w:rsidRPr="00CF56E1" w:rsidRDefault="00084780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noProof/>
        </w:rPr>
        <w:lastRenderedPageBreak/>
        <w:drawing>
          <wp:inline distT="0" distB="0" distL="0" distR="0" wp14:anchorId="4AD63F8B" wp14:editId="185094C9">
            <wp:extent cx="5708650" cy="28384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6FEC06" w14:textId="77777777" w:rsidR="00084780" w:rsidRPr="00CF56E1" w:rsidRDefault="00084780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>Figure 2</w:t>
      </w:r>
      <w:r w:rsidRPr="00CF56E1">
        <w:rPr>
          <w:rFonts w:ascii="Verdana" w:hAnsi="Verdana" w:cs="Times New Roman"/>
          <w:sz w:val="24"/>
          <w:szCs w:val="24"/>
        </w:rPr>
        <w:t>. Proportion of respondents reporting problems with using traditional hand hoe</w:t>
      </w:r>
    </w:p>
    <w:p w14:paraId="03BEB08C" w14:textId="77777777" w:rsidR="00757119" w:rsidRPr="00CF56E1" w:rsidRDefault="00757119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noProof/>
        </w:rPr>
        <w:drawing>
          <wp:inline distT="0" distB="0" distL="0" distR="0" wp14:anchorId="66689BF7" wp14:editId="56342E5E">
            <wp:extent cx="5651500" cy="27051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87A2D5" w14:textId="1AFDBC76" w:rsidR="00757119" w:rsidRPr="00CF56E1" w:rsidRDefault="00757119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>Figure 3.</w:t>
      </w:r>
      <w:r w:rsidRPr="00CF56E1">
        <w:rPr>
          <w:rFonts w:ascii="Verdana" w:hAnsi="Verdana" w:cs="Times New Roman"/>
          <w:sz w:val="24"/>
          <w:szCs w:val="24"/>
        </w:rPr>
        <w:t xml:space="preserve"> Proportion of respondents reporting mode of acquisition of the </w:t>
      </w:r>
      <w:proofErr w:type="spellStart"/>
      <w:r w:rsidR="000A4B17" w:rsidRPr="00CF56E1">
        <w:rPr>
          <w:rFonts w:ascii="Verdana" w:hAnsi="Verdana" w:cs="Times New Roman"/>
          <w:sz w:val="24"/>
          <w:szCs w:val="24"/>
        </w:rPr>
        <w:t>Greenseeder</w:t>
      </w:r>
      <w:proofErr w:type="spellEnd"/>
      <w:r w:rsidRPr="00CF56E1">
        <w:rPr>
          <w:rFonts w:ascii="Verdana" w:hAnsi="Verdana" w:cs="Times New Roman"/>
          <w:sz w:val="24"/>
          <w:szCs w:val="24"/>
        </w:rPr>
        <w:t xml:space="preserve"> hand planter </w:t>
      </w:r>
    </w:p>
    <w:p w14:paraId="7F7E9327" w14:textId="77777777" w:rsidR="004068CB" w:rsidRPr="00CF56E1" w:rsidRDefault="004068CB">
      <w:pPr>
        <w:rPr>
          <w:rFonts w:ascii="Verdana" w:hAnsi="Verdana" w:cs="Times New Roman"/>
          <w:sz w:val="24"/>
          <w:szCs w:val="24"/>
        </w:rPr>
      </w:pPr>
    </w:p>
    <w:p w14:paraId="35E02DD7" w14:textId="77777777" w:rsidR="004068CB" w:rsidRPr="00CF56E1" w:rsidRDefault="004068CB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noProof/>
        </w:rPr>
        <w:lastRenderedPageBreak/>
        <w:drawing>
          <wp:inline distT="0" distB="0" distL="0" distR="0" wp14:anchorId="2AE3AB9C" wp14:editId="46E09E27">
            <wp:extent cx="6134100" cy="3232150"/>
            <wp:effectExtent l="0" t="0" r="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4B4F85" w14:textId="0C606C37" w:rsidR="004068CB" w:rsidRPr="00CF56E1" w:rsidRDefault="007C3504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>Figure 4</w:t>
      </w:r>
      <w:r w:rsidR="004068CB" w:rsidRPr="00CF56E1">
        <w:rPr>
          <w:rFonts w:ascii="Verdana" w:hAnsi="Verdana" w:cs="Times New Roman"/>
          <w:b/>
          <w:sz w:val="24"/>
          <w:szCs w:val="24"/>
        </w:rPr>
        <w:t>.</w:t>
      </w:r>
      <w:r w:rsidR="004068CB" w:rsidRPr="00CF56E1">
        <w:rPr>
          <w:rFonts w:ascii="Verdana" w:hAnsi="Verdana" w:cs="Times New Roman"/>
          <w:sz w:val="24"/>
          <w:szCs w:val="24"/>
        </w:rPr>
        <w:t xml:space="preserve"> Reasons that could possibl</w:t>
      </w:r>
      <w:r w:rsidR="006D399C" w:rsidRPr="00CF56E1">
        <w:rPr>
          <w:rFonts w:ascii="Verdana" w:hAnsi="Verdana" w:cs="Times New Roman"/>
          <w:sz w:val="24"/>
          <w:szCs w:val="24"/>
        </w:rPr>
        <w:t>y</w:t>
      </w:r>
      <w:r w:rsidR="004068CB" w:rsidRPr="00CF56E1">
        <w:rPr>
          <w:rFonts w:ascii="Verdana" w:hAnsi="Verdana" w:cs="Times New Roman"/>
          <w:sz w:val="24"/>
          <w:szCs w:val="24"/>
        </w:rPr>
        <w:t xml:space="preserve"> hinder adoption of the </w:t>
      </w:r>
      <w:proofErr w:type="spellStart"/>
      <w:r w:rsidR="000A4B17" w:rsidRPr="00CF56E1">
        <w:rPr>
          <w:rFonts w:ascii="Verdana" w:hAnsi="Verdana" w:cs="Times New Roman"/>
          <w:sz w:val="24"/>
          <w:szCs w:val="24"/>
        </w:rPr>
        <w:t>Greenseeder</w:t>
      </w:r>
      <w:proofErr w:type="spellEnd"/>
      <w:r w:rsidR="004068CB" w:rsidRPr="00CF56E1">
        <w:rPr>
          <w:rFonts w:ascii="Verdana" w:hAnsi="Verdana" w:cs="Times New Roman"/>
          <w:sz w:val="24"/>
          <w:szCs w:val="24"/>
        </w:rPr>
        <w:t xml:space="preserve"> planter by farmers in Northern </w:t>
      </w:r>
      <w:r w:rsidR="009D5047" w:rsidRPr="00CF56E1">
        <w:rPr>
          <w:rFonts w:ascii="Verdana" w:hAnsi="Verdana" w:cs="Times New Roman"/>
          <w:sz w:val="24"/>
          <w:szCs w:val="24"/>
        </w:rPr>
        <w:t>Uganda</w:t>
      </w:r>
    </w:p>
    <w:p w14:paraId="083686EC" w14:textId="77777777" w:rsidR="007C3504" w:rsidRPr="00CF56E1" w:rsidRDefault="007C3504">
      <w:pPr>
        <w:rPr>
          <w:rFonts w:ascii="Verdana" w:hAnsi="Verdana" w:cs="Times New Roman"/>
          <w:sz w:val="24"/>
          <w:szCs w:val="24"/>
        </w:rPr>
      </w:pPr>
    </w:p>
    <w:p w14:paraId="2EE2CAE6" w14:textId="77777777" w:rsidR="007C3504" w:rsidRPr="00CF56E1" w:rsidRDefault="007C3504" w:rsidP="00C11BF2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noProof/>
        </w:rPr>
        <w:drawing>
          <wp:inline distT="0" distB="0" distL="0" distR="0" wp14:anchorId="2B81AF52" wp14:editId="292FA0C0">
            <wp:extent cx="4114800" cy="2446655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D8EB81D" w14:textId="244A06F8" w:rsidR="007C3504" w:rsidRPr="00CF56E1" w:rsidRDefault="007C3504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>Figure 5.</w:t>
      </w:r>
      <w:r w:rsidRPr="00CF56E1">
        <w:rPr>
          <w:rFonts w:ascii="Verdana" w:hAnsi="Verdana" w:cs="Times New Roman"/>
          <w:sz w:val="24"/>
          <w:szCs w:val="24"/>
        </w:rPr>
        <w:t xml:space="preserve"> Proportion of respondents reporting the likelihood of recommending the </w:t>
      </w:r>
      <w:proofErr w:type="spellStart"/>
      <w:r w:rsidR="000A4B17" w:rsidRPr="00CF56E1">
        <w:rPr>
          <w:rFonts w:ascii="Verdana" w:hAnsi="Verdana" w:cs="Times New Roman"/>
          <w:sz w:val="24"/>
          <w:szCs w:val="24"/>
        </w:rPr>
        <w:t>Greenseeder</w:t>
      </w:r>
      <w:proofErr w:type="spellEnd"/>
      <w:r w:rsidRPr="00CF56E1">
        <w:rPr>
          <w:rFonts w:ascii="Verdana" w:hAnsi="Verdana" w:cs="Times New Roman"/>
          <w:sz w:val="24"/>
          <w:szCs w:val="24"/>
        </w:rPr>
        <w:t xml:space="preserve"> hand planter</w:t>
      </w:r>
    </w:p>
    <w:p w14:paraId="57396A48" w14:textId="77777777" w:rsidR="009658A2" w:rsidRDefault="009658A2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br w:type="page"/>
      </w:r>
    </w:p>
    <w:p w14:paraId="773A1336" w14:textId="22955DBA" w:rsidR="003F5085" w:rsidRPr="00CF56E1" w:rsidRDefault="003F5085">
      <w:pPr>
        <w:rPr>
          <w:rFonts w:ascii="Verdana" w:hAnsi="Verdana" w:cs="Times New Roman"/>
          <w:b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lastRenderedPageBreak/>
        <w:t xml:space="preserve">Annex: </w:t>
      </w:r>
      <w:r w:rsidR="00DC201D" w:rsidRPr="00CF56E1">
        <w:rPr>
          <w:rFonts w:ascii="Verdana" w:hAnsi="Verdana" w:cs="Times New Roman"/>
          <w:sz w:val="24"/>
          <w:szCs w:val="24"/>
        </w:rPr>
        <w:t>Data Review</w:t>
      </w:r>
      <w:r w:rsidRPr="00CF56E1">
        <w:rPr>
          <w:rFonts w:ascii="Verdana" w:hAnsi="Verdana" w:cs="Times New Roman"/>
          <w:sz w:val="24"/>
          <w:szCs w:val="24"/>
        </w:rPr>
        <w:t xml:space="preserve"> for Pilot Study</w:t>
      </w:r>
      <w:r w:rsidR="006D399C" w:rsidRPr="00CF56E1">
        <w:rPr>
          <w:rFonts w:ascii="Verdana" w:hAnsi="Verdana" w:cs="Times New Roman"/>
          <w:sz w:val="24"/>
          <w:szCs w:val="24"/>
        </w:rPr>
        <w:t xml:space="preserve"> (similar data for Uganda and Nigeria)</w:t>
      </w:r>
    </w:p>
    <w:p w14:paraId="0A00074A" w14:textId="77777777" w:rsidR="002D7D16" w:rsidRPr="00CF56E1" w:rsidRDefault="002D7D16" w:rsidP="00C11BF2">
      <w:pPr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noProof/>
          <w:sz w:val="24"/>
          <w:szCs w:val="24"/>
        </w:rPr>
        <w:drawing>
          <wp:inline distT="0" distB="0" distL="0" distR="0" wp14:anchorId="2336B5ED" wp14:editId="04EE0637">
            <wp:extent cx="5491930" cy="2593975"/>
            <wp:effectExtent l="0" t="0" r="0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770" cy="263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6E1">
        <w:rPr>
          <w:rFonts w:ascii="Verdana" w:hAnsi="Verdana" w:cs="Times New Roman"/>
          <w:noProof/>
          <w:sz w:val="24"/>
          <w:szCs w:val="24"/>
        </w:rPr>
        <w:drawing>
          <wp:inline distT="0" distB="0" distL="0" distR="0" wp14:anchorId="3A71198A" wp14:editId="1FED8765">
            <wp:extent cx="5515982" cy="3016250"/>
            <wp:effectExtent l="0" t="0" r="0" b="0"/>
            <wp:docPr id="10" name="Picture 15" descr="C:\Users\Elliot\Downloads\statistic_id382311_distribution-of-gross-domestic-product--gdp--across-economic-sectors-nigeria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liot\Downloads\statistic_id382311_distribution-of-gross-domestic-product--gdp--across-economic-sectors-nigeria-201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783" cy="3019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E1075F" w14:textId="77777777" w:rsidR="00D1589E" w:rsidRPr="00CF56E1" w:rsidRDefault="00D1589E" w:rsidP="00C11BF2">
      <w:pPr>
        <w:rPr>
          <w:rFonts w:ascii="Verdana" w:hAnsi="Verdana" w:cs="Times New Roman"/>
          <w:sz w:val="24"/>
          <w:szCs w:val="24"/>
        </w:rPr>
      </w:pPr>
    </w:p>
    <w:p w14:paraId="48B5DAE3" w14:textId="54C0B67E" w:rsidR="00D1589E" w:rsidRPr="00CF56E1" w:rsidRDefault="00D1589E" w:rsidP="00D1589E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CF56E1">
        <w:rPr>
          <w:rFonts w:ascii="Verdana" w:hAnsi="Verdana" w:cs="Times New Roman"/>
          <w:b/>
          <w:sz w:val="24"/>
          <w:szCs w:val="24"/>
        </w:rPr>
        <w:t>References</w:t>
      </w:r>
    </w:p>
    <w:p w14:paraId="00CE30D0" w14:textId="77777777" w:rsidR="00C92B91" w:rsidRPr="00CF56E1" w:rsidRDefault="00C92B91" w:rsidP="00F97AF9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Badu-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Apraku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B.,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Fakorede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 M.A.B. (2017) Maize in Sub-Saharan Africa: Importance and Production Constraints. In: Advances in Genetic Enhancement of Early and Extra-Early Maize for Sub-Saharan Africa. Springer, Cham. DOI </w:t>
      </w:r>
      <w:hyperlink r:id="rId14" w:history="1">
        <w:r w:rsidRPr="00CF56E1">
          <w:rPr>
            <w:rStyle w:val="Hyperlink"/>
            <w:rFonts w:ascii="Verdana" w:hAnsi="Verdana"/>
            <w:shd w:val="clear" w:color="auto" w:fill="FFFFFF"/>
          </w:rPr>
          <w:t>https://doi.org/10.1007/978-3-319-64852-1_1</w:t>
        </w:r>
      </w:hyperlink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.</w:t>
      </w:r>
    </w:p>
    <w:p w14:paraId="227B965D" w14:textId="77777777" w:rsidR="00F97AF9" w:rsidRPr="00CF56E1" w:rsidRDefault="00C92B91" w:rsidP="00F97AF9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</w:pPr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Omara, P., Aula, L., Raun, B., Taylor, R., Koller, A., Lam, E., Ringer, J., Mullock, J., Dhital, S. and Macnack, N., 2016. Hand planter for maize (Zea mays L.) in the developing world. Journal of Plant Nutrition, 39(9), pp.1233-1239.</w:t>
      </w:r>
    </w:p>
    <w:p w14:paraId="039B0BAA" w14:textId="7A443F61" w:rsidR="00D1589E" w:rsidRPr="00CF56E1" w:rsidRDefault="00D1589E" w:rsidP="00F97AF9">
      <w:pPr>
        <w:pStyle w:val="ListParagraph"/>
        <w:numPr>
          <w:ilvl w:val="0"/>
          <w:numId w:val="2"/>
        </w:numPr>
        <w:spacing w:line="360" w:lineRule="auto"/>
        <w:rPr>
          <w:rFonts w:ascii="Verdana" w:hAnsi="Verdana" w:cs="Times New Roman"/>
          <w:sz w:val="24"/>
          <w:szCs w:val="24"/>
        </w:rPr>
      </w:pPr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lastRenderedPageBreak/>
        <w:t xml:space="preserve">Ten Berge, H.F.,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Hijbeek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R., van Loon, M.P.,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Rurinda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Tesfaye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K.,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Zingore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Craufurd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P., van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Heerwaarden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Brentrup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F.,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Schröder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 xml:space="preserve">, J.J. and </w:t>
      </w:r>
      <w:proofErr w:type="spellStart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Boogaard</w:t>
      </w:r>
      <w:proofErr w:type="spellEnd"/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, H.L., 2019. Maize crop nutrient input requirements for food security in sub-Saharan Africa. </w:t>
      </w:r>
      <w:r w:rsidRPr="00CF56E1">
        <w:rPr>
          <w:rFonts w:ascii="Verdana" w:hAnsi="Verdana" w:cs="Times New Roman"/>
          <w:i/>
          <w:iCs/>
          <w:color w:val="222222"/>
          <w:sz w:val="24"/>
          <w:szCs w:val="24"/>
          <w:shd w:val="clear" w:color="auto" w:fill="FFFFFF"/>
        </w:rPr>
        <w:t>Global Food Security</w:t>
      </w:r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, </w:t>
      </w:r>
      <w:r w:rsidRPr="00CF56E1">
        <w:rPr>
          <w:rFonts w:ascii="Verdana" w:hAnsi="Verdana" w:cs="Times New Roman"/>
          <w:i/>
          <w:iCs/>
          <w:color w:val="222222"/>
          <w:sz w:val="24"/>
          <w:szCs w:val="24"/>
          <w:shd w:val="clear" w:color="auto" w:fill="FFFFFF"/>
        </w:rPr>
        <w:t>23</w:t>
      </w:r>
      <w:r w:rsidRPr="00CF56E1">
        <w:rPr>
          <w:rFonts w:ascii="Verdana" w:hAnsi="Verdana" w:cs="Times New Roman"/>
          <w:color w:val="222222"/>
          <w:sz w:val="24"/>
          <w:szCs w:val="24"/>
          <w:shd w:val="clear" w:color="auto" w:fill="FFFFFF"/>
        </w:rPr>
        <w:t>, pp.9-21.</w:t>
      </w:r>
    </w:p>
    <w:p w14:paraId="5CE4985C" w14:textId="77777777" w:rsidR="00D1589E" w:rsidRPr="00CF56E1" w:rsidRDefault="00D1589E" w:rsidP="00C11BF2">
      <w:pPr>
        <w:rPr>
          <w:rFonts w:ascii="Verdana" w:hAnsi="Verdana" w:cs="Times New Roman"/>
          <w:sz w:val="24"/>
          <w:szCs w:val="24"/>
        </w:rPr>
      </w:pPr>
    </w:p>
    <w:sectPr w:rsidR="00D1589E" w:rsidRPr="00CF56E1" w:rsidSect="00F17A59">
      <w:pgSz w:w="12240" w:h="15840"/>
      <w:pgMar w:top="900" w:right="99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6C6F"/>
    <w:multiLevelType w:val="hybridMultilevel"/>
    <w:tmpl w:val="5F18AB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1A20C2"/>
    <w:multiLevelType w:val="hybridMultilevel"/>
    <w:tmpl w:val="45E82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N7Q0NrEwMrc0NbdQ0lEKTi0uzszPAykwqgUAf4vdSSwAAAA="/>
  </w:docVars>
  <w:rsids>
    <w:rsidRoot w:val="00257F22"/>
    <w:rsid w:val="00012838"/>
    <w:rsid w:val="00084780"/>
    <w:rsid w:val="00090275"/>
    <w:rsid w:val="000A0DA0"/>
    <w:rsid w:val="000A4B17"/>
    <w:rsid w:val="000D2396"/>
    <w:rsid w:val="000D6A17"/>
    <w:rsid w:val="000E517B"/>
    <w:rsid w:val="000F6F2F"/>
    <w:rsid w:val="0015181B"/>
    <w:rsid w:val="00164024"/>
    <w:rsid w:val="00174FEA"/>
    <w:rsid w:val="001826BA"/>
    <w:rsid w:val="002104F6"/>
    <w:rsid w:val="002117FA"/>
    <w:rsid w:val="002302E7"/>
    <w:rsid w:val="00257F22"/>
    <w:rsid w:val="00261907"/>
    <w:rsid w:val="00265F01"/>
    <w:rsid w:val="002701D4"/>
    <w:rsid w:val="0028640F"/>
    <w:rsid w:val="002B71AD"/>
    <w:rsid w:val="002D7D16"/>
    <w:rsid w:val="002F3A63"/>
    <w:rsid w:val="002F62E8"/>
    <w:rsid w:val="0030193E"/>
    <w:rsid w:val="00311A66"/>
    <w:rsid w:val="00312008"/>
    <w:rsid w:val="00316610"/>
    <w:rsid w:val="00330513"/>
    <w:rsid w:val="0034745F"/>
    <w:rsid w:val="003556E7"/>
    <w:rsid w:val="003918CC"/>
    <w:rsid w:val="00397581"/>
    <w:rsid w:val="003E3A9D"/>
    <w:rsid w:val="003F5085"/>
    <w:rsid w:val="003F52F0"/>
    <w:rsid w:val="004068CB"/>
    <w:rsid w:val="00471AE9"/>
    <w:rsid w:val="004A4001"/>
    <w:rsid w:val="004A54F3"/>
    <w:rsid w:val="004F3A8D"/>
    <w:rsid w:val="00545051"/>
    <w:rsid w:val="00550E73"/>
    <w:rsid w:val="005B7782"/>
    <w:rsid w:val="005D1DB3"/>
    <w:rsid w:val="005E4265"/>
    <w:rsid w:val="00604E61"/>
    <w:rsid w:val="0061367B"/>
    <w:rsid w:val="006614B8"/>
    <w:rsid w:val="00683011"/>
    <w:rsid w:val="0068691B"/>
    <w:rsid w:val="006D399C"/>
    <w:rsid w:val="006D706B"/>
    <w:rsid w:val="006E4C66"/>
    <w:rsid w:val="006E70D8"/>
    <w:rsid w:val="00725A69"/>
    <w:rsid w:val="00757119"/>
    <w:rsid w:val="007B6A0D"/>
    <w:rsid w:val="007C15E4"/>
    <w:rsid w:val="007C3504"/>
    <w:rsid w:val="007F1CF0"/>
    <w:rsid w:val="00840CA0"/>
    <w:rsid w:val="00867CF1"/>
    <w:rsid w:val="008857A2"/>
    <w:rsid w:val="008B46A6"/>
    <w:rsid w:val="008D4205"/>
    <w:rsid w:val="00907D3C"/>
    <w:rsid w:val="00965461"/>
    <w:rsid w:val="009658A2"/>
    <w:rsid w:val="00981A97"/>
    <w:rsid w:val="00997C85"/>
    <w:rsid w:val="009D150F"/>
    <w:rsid w:val="009D5047"/>
    <w:rsid w:val="00A57817"/>
    <w:rsid w:val="00A614AB"/>
    <w:rsid w:val="00A73AFF"/>
    <w:rsid w:val="00AE3A1E"/>
    <w:rsid w:val="00AF63F4"/>
    <w:rsid w:val="00B03115"/>
    <w:rsid w:val="00B103B1"/>
    <w:rsid w:val="00B11AC7"/>
    <w:rsid w:val="00B40680"/>
    <w:rsid w:val="00B969CA"/>
    <w:rsid w:val="00BC13E6"/>
    <w:rsid w:val="00BE0EE8"/>
    <w:rsid w:val="00BF2B39"/>
    <w:rsid w:val="00C0236D"/>
    <w:rsid w:val="00C11BF2"/>
    <w:rsid w:val="00C14325"/>
    <w:rsid w:val="00C60CC9"/>
    <w:rsid w:val="00C61A8A"/>
    <w:rsid w:val="00C850B4"/>
    <w:rsid w:val="00C92B91"/>
    <w:rsid w:val="00CC3F12"/>
    <w:rsid w:val="00CE04BD"/>
    <w:rsid w:val="00CF56E1"/>
    <w:rsid w:val="00D1589E"/>
    <w:rsid w:val="00D763E6"/>
    <w:rsid w:val="00DA6AD2"/>
    <w:rsid w:val="00DC201D"/>
    <w:rsid w:val="00DD004C"/>
    <w:rsid w:val="00E2757F"/>
    <w:rsid w:val="00E43EE7"/>
    <w:rsid w:val="00E45B5C"/>
    <w:rsid w:val="00E7572E"/>
    <w:rsid w:val="00E87559"/>
    <w:rsid w:val="00E9564A"/>
    <w:rsid w:val="00EA63FE"/>
    <w:rsid w:val="00EC510B"/>
    <w:rsid w:val="00ED4F72"/>
    <w:rsid w:val="00ED7112"/>
    <w:rsid w:val="00F06176"/>
    <w:rsid w:val="00F078B1"/>
    <w:rsid w:val="00F17A59"/>
    <w:rsid w:val="00F2748D"/>
    <w:rsid w:val="00F343FA"/>
    <w:rsid w:val="00F864DE"/>
    <w:rsid w:val="00F97AF9"/>
    <w:rsid w:val="00FA780B"/>
    <w:rsid w:val="00FB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C9C23"/>
  <w15:docId w15:val="{4C1EC0A8-72B7-434D-A05E-EB06F600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3C"/>
  </w:style>
  <w:style w:type="paragraph" w:styleId="Heading2">
    <w:name w:val="heading 2"/>
    <w:basedOn w:val="Normal"/>
    <w:link w:val="Heading2Char"/>
    <w:uiPriority w:val="9"/>
    <w:qFormat/>
    <w:rsid w:val="00965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6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6546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65461"/>
    <w:rPr>
      <w:color w:val="0000FF"/>
      <w:u w:val="single"/>
    </w:rPr>
  </w:style>
  <w:style w:type="paragraph" w:styleId="NoSpacing">
    <w:name w:val="No Spacing"/>
    <w:uiPriority w:val="1"/>
    <w:qFormat/>
    <w:rsid w:val="00C850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6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5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7467">
              <w:marLeft w:val="0"/>
              <w:marRight w:val="3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63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1433">
              <w:marLeft w:val="75"/>
              <w:marRight w:val="3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2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76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2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235">
          <w:marLeft w:val="18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201/9780429042171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hyperlink" Target="https://doi.org/10.1007/978-3-319-64852-1_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il\Desktop\Hand%20Planter\Rotary%20Grant\HP%20Dataset%20(1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il\Desktop\Hand%20Planter\Rotary%20Grant\HP%20Dataset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il\Desktop\Hand%20Planter\Rotary%20Grant\HP%20Dataset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oil\Desktop\Hand%20Planter\Rotary%20Grant\HP%20Dataset%20(1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oil\Desktop\Hand%20Planter\Rotary%20Grant\HP%20Dataset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Average crop yield</c:v>
          </c:tx>
          <c:spPr>
            <a:solidFill>
              <a:schemeClr val="accent6"/>
            </a:solidFill>
            <a:ln w="12700">
              <a:solidFill>
                <a:srgbClr val="00B050"/>
              </a:solidFill>
            </a:ln>
            <a:effectLst/>
          </c:spPr>
          <c:invertIfNegative val="0"/>
          <c:cat>
            <c:strRef>
              <c:f>'Major Crops'!$E$14:$E$21</c:f>
              <c:strCache>
                <c:ptCount val="8"/>
                <c:pt idx="0">
                  <c:v>Beans</c:v>
                </c:pt>
                <c:pt idx="1">
                  <c:v>Groundnuts</c:v>
                </c:pt>
                <c:pt idx="2">
                  <c:v>Maize</c:v>
                </c:pt>
                <c:pt idx="3">
                  <c:v>Millet</c:v>
                </c:pt>
                <c:pt idx="4">
                  <c:v>Simsim</c:v>
                </c:pt>
                <c:pt idx="5">
                  <c:v>Sorghum</c:v>
                </c:pt>
                <c:pt idx="6">
                  <c:v>Soy beans</c:v>
                </c:pt>
                <c:pt idx="7">
                  <c:v>Sunflower</c:v>
                </c:pt>
              </c:strCache>
            </c:strRef>
          </c:cat>
          <c:val>
            <c:numRef>
              <c:f>'Major Crops'!$F$14:$F$21</c:f>
              <c:numCache>
                <c:formatCode>General</c:formatCode>
                <c:ptCount val="8"/>
                <c:pt idx="0">
                  <c:v>1051.5</c:v>
                </c:pt>
                <c:pt idx="1">
                  <c:v>647.5</c:v>
                </c:pt>
                <c:pt idx="2">
                  <c:v>1090.8139534883721</c:v>
                </c:pt>
                <c:pt idx="3">
                  <c:v>1089.090909090909</c:v>
                </c:pt>
                <c:pt idx="4">
                  <c:v>1042</c:v>
                </c:pt>
                <c:pt idx="5">
                  <c:v>1390.8333333333328</c:v>
                </c:pt>
                <c:pt idx="6">
                  <c:v>1544.3076923076926</c:v>
                </c:pt>
                <c:pt idx="7">
                  <c:v>1012.7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41-4810-AB42-AC22D1408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axId val="632130176"/>
        <c:axId val="632132896"/>
      </c:barChart>
      <c:barChart>
        <c:barDir val="col"/>
        <c:grouping val="clustered"/>
        <c:varyColors val="0"/>
        <c:ser>
          <c:idx val="1"/>
          <c:order val="1"/>
          <c:tx>
            <c:v>Farmers growing crops (%)</c:v>
          </c:tx>
          <c:spPr>
            <a:pattFill prst="pct20">
              <a:fgClr>
                <a:schemeClr val="bg1">
                  <a:lumMod val="65000"/>
                </a:schemeClr>
              </a:fgClr>
              <a:bgClr>
                <a:schemeClr val="bg1"/>
              </a:bgClr>
            </a:pattFill>
            <a:ln w="15875">
              <a:solidFill>
                <a:schemeClr val="tx1"/>
              </a:solidFill>
            </a:ln>
            <a:effectLst/>
          </c:spPr>
          <c:invertIfNegative val="0"/>
          <c:cat>
            <c:strRef>
              <c:f>'Major Crops'!$E$14:$E$21</c:f>
              <c:strCache>
                <c:ptCount val="8"/>
                <c:pt idx="0">
                  <c:v>Beans</c:v>
                </c:pt>
                <c:pt idx="1">
                  <c:v>Groundnuts</c:v>
                </c:pt>
                <c:pt idx="2">
                  <c:v>Maize</c:v>
                </c:pt>
                <c:pt idx="3">
                  <c:v>Millet</c:v>
                </c:pt>
                <c:pt idx="4">
                  <c:v>Simsim</c:v>
                </c:pt>
                <c:pt idx="5">
                  <c:v>Sorghum</c:v>
                </c:pt>
                <c:pt idx="6">
                  <c:v>Soy beans</c:v>
                </c:pt>
                <c:pt idx="7">
                  <c:v>Sunflower</c:v>
                </c:pt>
              </c:strCache>
            </c:strRef>
          </c:cat>
          <c:val>
            <c:numRef>
              <c:f>'Major Crops'!$G$14:$G$21</c:f>
              <c:numCache>
                <c:formatCode>General</c:formatCode>
                <c:ptCount val="8"/>
                <c:pt idx="0">
                  <c:v>28.000000000000004</c:v>
                </c:pt>
                <c:pt idx="1">
                  <c:v>12</c:v>
                </c:pt>
                <c:pt idx="2">
                  <c:v>86</c:v>
                </c:pt>
                <c:pt idx="3">
                  <c:v>22</c:v>
                </c:pt>
                <c:pt idx="4">
                  <c:v>48</c:v>
                </c:pt>
                <c:pt idx="5">
                  <c:v>36</c:v>
                </c:pt>
                <c:pt idx="6">
                  <c:v>26</c:v>
                </c:pt>
                <c:pt idx="7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41-4810-AB42-AC22D14080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7"/>
        <c:axId val="632141056"/>
        <c:axId val="632130720"/>
      </c:barChart>
      <c:catAx>
        <c:axId val="6321301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Crop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2132896"/>
        <c:crosses val="autoZero"/>
        <c:auto val="1"/>
        <c:lblAlgn val="ctr"/>
        <c:lblOffset val="100"/>
        <c:noMultiLvlLbl val="0"/>
      </c:catAx>
      <c:valAx>
        <c:axId val="632132896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b="0"/>
                  <a:t>Average yield (Kg per ha)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2130176"/>
        <c:crosses val="autoZero"/>
        <c:crossBetween val="between"/>
        <c:majorUnit val="400"/>
      </c:valAx>
      <c:valAx>
        <c:axId val="632130720"/>
        <c:scaling>
          <c:orientation val="minMax"/>
          <c:max val="100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Farmers per crop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2141056"/>
        <c:crosses val="max"/>
        <c:crossBetween val="between"/>
        <c:majorUnit val="20"/>
      </c:valAx>
      <c:catAx>
        <c:axId val="6321410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321307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983-465A-9767-2089AFBBDD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983-465A-9767-2089AFBBDD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983-465A-9767-2089AFBBDD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983-465A-9767-2089AFBBDD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Presentations!$A$66:$A$69</c:f>
              <c:strCache>
                <c:ptCount val="4"/>
                <c:pt idx="0">
                  <c:v>Labor intensive</c:v>
                </c:pt>
                <c:pt idx="1">
                  <c:v>Exposure to chemicals</c:v>
                </c:pt>
                <c:pt idx="2">
                  <c:v>Calluses</c:v>
                </c:pt>
                <c:pt idx="3">
                  <c:v>Others</c:v>
                </c:pt>
              </c:strCache>
            </c:strRef>
          </c:cat>
          <c:val>
            <c:numRef>
              <c:f>Presentations!$C$66:$C$69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  <c:pt idx="2">
                  <c:v>22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83-465A-9767-2089AFBBDD7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14-4351-A8BE-7276E9382EE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14-4351-A8BE-7276E9382EE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14-4351-A8BE-7276E9382E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l"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Presentations!$A$21:$A$23</c:f>
              <c:strCache>
                <c:ptCount val="3"/>
                <c:pt idx="0">
                  <c:v>Bought</c:v>
                </c:pt>
                <c:pt idx="1">
                  <c:v>Donation</c:v>
                </c:pt>
                <c:pt idx="2">
                  <c:v>Others</c:v>
                </c:pt>
              </c:strCache>
            </c:strRef>
          </c:cat>
          <c:val>
            <c:numRef>
              <c:f>Presentations!$C$21:$C$23</c:f>
              <c:numCache>
                <c:formatCode>General</c:formatCode>
                <c:ptCount val="3"/>
                <c:pt idx="0">
                  <c:v>0</c:v>
                </c:pt>
                <c:pt idx="1">
                  <c:v>69.444444444444457</c:v>
                </c:pt>
                <c:pt idx="2">
                  <c:v>30.555555555555557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A14-4351-A8BE-7276E9382EE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pattFill prst="lgChe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Presentations!$A$51:$A$55</c:f>
              <c:strCache>
                <c:ptCount val="5"/>
                <c:pt idx="0">
                  <c:v>High price</c:v>
                </c:pt>
                <c:pt idx="1">
                  <c:v>Not available in the local market</c:v>
                </c:pt>
                <c:pt idx="2">
                  <c:v>Lack of skills</c:v>
                </c:pt>
                <c:pt idx="3">
                  <c:v>Used for planting few crops</c:v>
                </c:pt>
                <c:pt idx="4">
                  <c:v>Others</c:v>
                </c:pt>
              </c:strCache>
            </c:strRef>
          </c:cat>
          <c:val>
            <c:numRef>
              <c:f>Presentations!$C$51:$C$55</c:f>
              <c:numCache>
                <c:formatCode>General</c:formatCode>
                <c:ptCount val="5"/>
                <c:pt idx="0">
                  <c:v>38.888888888888893</c:v>
                </c:pt>
                <c:pt idx="1">
                  <c:v>88.888888888888857</c:v>
                </c:pt>
                <c:pt idx="2">
                  <c:v>0</c:v>
                </c:pt>
                <c:pt idx="3">
                  <c:v>19.444444444444446</c:v>
                </c:pt>
                <c:pt idx="4">
                  <c:v>5.5555555555555536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7B-431B-B93F-781745BD79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2142144"/>
        <c:axId val="632131808"/>
      </c:barChart>
      <c:catAx>
        <c:axId val="63214214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Hinderance to adotion of </a:t>
                </a:r>
                <a:r>
                  <a:rPr lang="en-US"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rPr>
                  <a:t>Greenseeder</a:t>
                </a:r>
                <a:r>
                  <a:rPr lang="en-US"/>
                  <a:t> HP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2131808"/>
        <c:crosses val="autoZero"/>
        <c:auto val="1"/>
        <c:lblAlgn val="ctr"/>
        <c:lblOffset val="100"/>
        <c:noMultiLvlLbl val="0"/>
      </c:catAx>
      <c:valAx>
        <c:axId val="6321318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Percent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3214214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43-43AA-9070-715702A7B3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43-43AA-9070-715702A7B3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A43-43AA-9070-715702A7B3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A43-43AA-9070-715702A7B3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Presentations!$A$81:$A$84</c:f>
              <c:strCache>
                <c:ptCount val="4"/>
                <c:pt idx="0">
                  <c:v>Most likely</c:v>
                </c:pt>
                <c:pt idx="1">
                  <c:v>Likely</c:v>
                </c:pt>
                <c:pt idx="2">
                  <c:v>Less likely</c:v>
                </c:pt>
                <c:pt idx="3">
                  <c:v>Not likely</c:v>
                </c:pt>
              </c:strCache>
            </c:strRef>
          </c:cat>
          <c:val>
            <c:numRef>
              <c:f>Presentations!$C$81:$C$84</c:f>
              <c:numCache>
                <c:formatCode>0</c:formatCode>
                <c:ptCount val="4"/>
                <c:pt idx="0">
                  <c:v>94</c:v>
                </c:pt>
                <c:pt idx="1">
                  <c:v>13.888888888888889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43-43AA-9070-715702A7B33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7CD4-4A40-4117-A5D8-4D213BE8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Soil Fertility</dc:creator>
  <cp:lastModifiedBy>william raun</cp:lastModifiedBy>
  <cp:revision>6</cp:revision>
  <dcterms:created xsi:type="dcterms:W3CDTF">2019-08-27T15:34:00Z</dcterms:created>
  <dcterms:modified xsi:type="dcterms:W3CDTF">2019-09-05T19:41:00Z</dcterms:modified>
</cp:coreProperties>
</file>